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045B3" w14:textId="77777777" w:rsidR="006202D1" w:rsidRDefault="00DF6766" w:rsidP="00DF6766">
      <w:pPr>
        <w:widowControl w:val="0"/>
        <w:tabs>
          <w:tab w:val="center" w:pos="5040"/>
          <w:tab w:val="left" w:pos="7275"/>
        </w:tabs>
        <w:autoSpaceDE w:val="0"/>
        <w:autoSpaceDN w:val="0"/>
        <w:adjustRightInd w:val="0"/>
        <w:spacing w:after="0" w:line="240" w:lineRule="auto"/>
        <w:ind w:left="100" w:right="100"/>
        <w:rPr>
          <w:rFonts w:ascii="Verdana" w:hAnsi="Verdana" w:cs="Georgia"/>
          <w:color w:val="252525"/>
        </w:rPr>
      </w:pPr>
      <w:r>
        <w:rPr>
          <w:rFonts w:ascii="Verdana" w:hAnsi="Verdana" w:cs="Georgia"/>
          <w:color w:val="252525"/>
        </w:rPr>
        <w:tab/>
        <w:t xml:space="preserve">Facebook </w:t>
      </w:r>
      <w:r w:rsidR="00A853CC" w:rsidRPr="00DF6766">
        <w:rPr>
          <w:rFonts w:ascii="Verdana" w:hAnsi="Verdana" w:cs="Georgia"/>
          <w:color w:val="252525"/>
        </w:rPr>
        <w:t>v.</w:t>
      </w:r>
      <w:r>
        <w:rPr>
          <w:rFonts w:ascii="Verdana" w:hAnsi="Verdana" w:cs="Georgia"/>
          <w:color w:val="252525"/>
        </w:rPr>
        <w:t xml:space="preserve"> </w:t>
      </w:r>
      <w:r w:rsidR="00A853CC" w:rsidRPr="00DF6766">
        <w:rPr>
          <w:rFonts w:ascii="Verdana" w:hAnsi="Verdana" w:cs="Georgia"/>
          <w:color w:val="252525"/>
        </w:rPr>
        <w:t>Power Ventures</w:t>
      </w:r>
      <w:bookmarkStart w:id="0" w:name="co_synopsis_1"/>
      <w:bookmarkStart w:id="1" w:name="co_anchor_Ifef6e89e752211e698dc8b09b4f04"/>
      <w:bookmarkEnd w:id="0"/>
      <w:bookmarkEnd w:id="1"/>
      <w:r>
        <w:rPr>
          <w:rFonts w:ascii="Verdana" w:hAnsi="Verdana" w:cs="Georgia"/>
          <w:color w:val="252525"/>
        </w:rPr>
        <w:tab/>
      </w:r>
    </w:p>
    <w:p w14:paraId="4CEE6C53" w14:textId="1CEF1433" w:rsidR="00DF6766" w:rsidRDefault="00FC4E96" w:rsidP="00DF6766">
      <w:pPr>
        <w:widowControl w:val="0"/>
        <w:tabs>
          <w:tab w:val="center" w:pos="5040"/>
          <w:tab w:val="left" w:pos="7275"/>
        </w:tabs>
        <w:autoSpaceDE w:val="0"/>
        <w:autoSpaceDN w:val="0"/>
        <w:adjustRightInd w:val="0"/>
        <w:spacing w:after="0" w:line="240" w:lineRule="auto"/>
        <w:ind w:left="100" w:right="100"/>
        <w:jc w:val="center"/>
        <w:rPr>
          <w:rFonts w:ascii="Arial" w:hAnsi="Arial" w:cs="Arial"/>
          <w:color w:val="222222"/>
          <w:sz w:val="23"/>
          <w:szCs w:val="23"/>
          <w:shd w:val="clear" w:color="auto" w:fill="FFFFFF"/>
        </w:rPr>
      </w:pPr>
      <w:r w:rsidRPr="00FC4E96">
        <w:rPr>
          <w:rFonts w:ascii="Arial" w:hAnsi="Arial" w:cs="Arial"/>
          <w:color w:val="222222"/>
          <w:sz w:val="23"/>
          <w:szCs w:val="23"/>
          <w:shd w:val="clear" w:color="auto" w:fill="FFFFFF"/>
        </w:rPr>
        <w:t>844 F.3d 1058 (2016)</w:t>
      </w:r>
    </w:p>
    <w:p w14:paraId="1AE6A9B8" w14:textId="2EC6C451" w:rsidR="000D00B4" w:rsidRPr="000D00B4" w:rsidRDefault="000D00B4" w:rsidP="00DF6766">
      <w:pPr>
        <w:widowControl w:val="0"/>
        <w:tabs>
          <w:tab w:val="center" w:pos="5040"/>
          <w:tab w:val="left" w:pos="7275"/>
        </w:tabs>
        <w:autoSpaceDE w:val="0"/>
        <w:autoSpaceDN w:val="0"/>
        <w:adjustRightInd w:val="0"/>
        <w:spacing w:after="0" w:line="240" w:lineRule="auto"/>
        <w:ind w:left="100" w:right="100"/>
        <w:jc w:val="center"/>
        <w:rPr>
          <w:rFonts w:ascii="Verdana" w:hAnsi="Verdana" w:cs="Georgia"/>
          <w:color w:val="252525"/>
        </w:rPr>
      </w:pPr>
      <w:r w:rsidRPr="000D00B4">
        <w:rPr>
          <w:rFonts w:ascii="Arial" w:hAnsi="Arial" w:cs="Arial"/>
          <w:color w:val="222222"/>
          <w:sz w:val="23"/>
          <w:szCs w:val="23"/>
          <w:shd w:val="clear" w:color="auto" w:fill="FFFFFF"/>
        </w:rPr>
        <w:t>United States Court of Appeals, Ninth Circuit</w:t>
      </w:r>
    </w:p>
    <w:p w14:paraId="24A2DE33" w14:textId="77777777" w:rsidR="00FC4E96" w:rsidRPr="00DF6766" w:rsidRDefault="00FC4E96" w:rsidP="00DF6766">
      <w:pPr>
        <w:widowControl w:val="0"/>
        <w:tabs>
          <w:tab w:val="center" w:pos="5040"/>
          <w:tab w:val="left" w:pos="7275"/>
        </w:tabs>
        <w:autoSpaceDE w:val="0"/>
        <w:autoSpaceDN w:val="0"/>
        <w:adjustRightInd w:val="0"/>
        <w:spacing w:after="0" w:line="240" w:lineRule="auto"/>
        <w:ind w:left="100" w:right="100"/>
        <w:jc w:val="center"/>
        <w:rPr>
          <w:rFonts w:ascii="Verdana" w:hAnsi="Verdana" w:cs="Georgia"/>
          <w:color w:val="252525"/>
        </w:rPr>
      </w:pPr>
    </w:p>
    <w:p w14:paraId="71BE9460" w14:textId="77777777" w:rsidR="006202D1" w:rsidRDefault="00A853CC" w:rsidP="00DF6766">
      <w:pPr>
        <w:widowControl w:val="0"/>
        <w:autoSpaceDE w:val="0"/>
        <w:autoSpaceDN w:val="0"/>
        <w:adjustRightInd w:val="0"/>
        <w:spacing w:after="0" w:line="240" w:lineRule="auto"/>
        <w:jc w:val="center"/>
        <w:rPr>
          <w:rFonts w:ascii="Verdana" w:hAnsi="Verdana" w:cs="Times New Roman"/>
          <w:b/>
          <w:bCs/>
          <w:color w:val="000000"/>
        </w:rPr>
      </w:pPr>
      <w:r w:rsidRPr="00DF6766">
        <w:rPr>
          <w:rFonts w:ascii="Verdana" w:hAnsi="Verdana" w:cs="Times New Roman"/>
          <w:b/>
          <w:bCs/>
          <w:color w:val="000000"/>
        </w:rPr>
        <w:t>OPINION</w:t>
      </w:r>
    </w:p>
    <w:p w14:paraId="374F1A1E" w14:textId="77777777" w:rsidR="00DF6766" w:rsidRPr="00DF6766" w:rsidRDefault="00DF6766" w:rsidP="00DF6766">
      <w:pPr>
        <w:widowControl w:val="0"/>
        <w:autoSpaceDE w:val="0"/>
        <w:autoSpaceDN w:val="0"/>
        <w:adjustRightInd w:val="0"/>
        <w:spacing w:after="0" w:line="240" w:lineRule="auto"/>
        <w:jc w:val="center"/>
        <w:rPr>
          <w:rFonts w:ascii="Verdana" w:hAnsi="Verdana" w:cs="Times New Roman"/>
          <w:b/>
          <w:bCs/>
          <w:color w:val="000000"/>
        </w:rPr>
      </w:pPr>
    </w:p>
    <w:p w14:paraId="70A9B275" w14:textId="77777777" w:rsidR="006202D1" w:rsidRDefault="00A853CC" w:rsidP="00DF6766">
      <w:pPr>
        <w:widowControl w:val="0"/>
        <w:autoSpaceDE w:val="0"/>
        <w:autoSpaceDN w:val="0"/>
        <w:adjustRightInd w:val="0"/>
        <w:spacing w:after="0" w:line="240" w:lineRule="auto"/>
        <w:jc w:val="both"/>
        <w:rPr>
          <w:rFonts w:ascii="Verdana" w:hAnsi="Verdana" w:cs="Times New Roman"/>
          <w:color w:val="000000"/>
        </w:rPr>
      </w:pPr>
      <w:r w:rsidRPr="00DF6766">
        <w:rPr>
          <w:rFonts w:ascii="Verdana" w:hAnsi="Verdana" w:cs="Times New Roman"/>
          <w:color w:val="000000" w:themeColor="text1"/>
        </w:rPr>
        <w:t>GRABER</w:t>
      </w:r>
      <w:r w:rsidRPr="00DF6766">
        <w:rPr>
          <w:rFonts w:ascii="Verdana" w:hAnsi="Verdana" w:cs="Times New Roman"/>
          <w:color w:val="000000"/>
        </w:rPr>
        <w:t>, Circuit Judge:</w:t>
      </w:r>
    </w:p>
    <w:p w14:paraId="3930303C" w14:textId="77777777" w:rsidR="00DF6766" w:rsidRPr="00DF6766" w:rsidRDefault="00DF6766" w:rsidP="00DF6766">
      <w:pPr>
        <w:widowControl w:val="0"/>
        <w:autoSpaceDE w:val="0"/>
        <w:autoSpaceDN w:val="0"/>
        <w:adjustRightInd w:val="0"/>
        <w:spacing w:after="0" w:line="240" w:lineRule="auto"/>
        <w:jc w:val="both"/>
        <w:rPr>
          <w:rFonts w:ascii="Verdana" w:hAnsi="Verdana" w:cs="Times New Roman"/>
          <w:color w:val="000000"/>
        </w:rPr>
      </w:pPr>
    </w:p>
    <w:p w14:paraId="08B73FD9" w14:textId="77777777" w:rsidR="006202D1" w:rsidRPr="00DF6766" w:rsidRDefault="00A853CC" w:rsidP="00DF6766">
      <w:pPr>
        <w:widowControl w:val="0"/>
        <w:autoSpaceDE w:val="0"/>
        <w:autoSpaceDN w:val="0"/>
        <w:adjustRightInd w:val="0"/>
        <w:spacing w:after="0" w:line="240" w:lineRule="auto"/>
        <w:jc w:val="both"/>
        <w:rPr>
          <w:rFonts w:ascii="Verdana" w:hAnsi="Verdana" w:cs="Times New Roman"/>
          <w:color w:val="000000"/>
        </w:rPr>
      </w:pPr>
      <w:r w:rsidRPr="00DF6766">
        <w:rPr>
          <w:rFonts w:ascii="Verdana" w:hAnsi="Verdana" w:cs="Times New Roman"/>
          <w:color w:val="000000"/>
        </w:rPr>
        <w:t xml:space="preserve">One social networking company, Facebook, Inc., has sued another, Power Ventures, Inc., over a promotional campaign. Power accessed Facebook users’ data and initiated form e-mails and other electronic messages promoting its website. Initially, Power had implied permission from Facebook. But Facebook sent Power a cease and desist letter and blocked Power’s IP address; nevertheless Power continued its campaign. Facebook alleges that Power’s actions violated the Controlling the Assault of Non–Solicited Pornography and Marketing Act of 2003 (“CAN–SPAM”), the Computer Fraud and Abuse Act of 1986 (“CFAA”), and </w:t>
      </w:r>
      <w:hyperlink r:id="rId6" w:history="1">
        <w:r w:rsidRPr="00DF6766">
          <w:rPr>
            <w:rFonts w:ascii="Verdana" w:hAnsi="Verdana" w:cs="Times New Roman"/>
            <w:color w:val="0000FF"/>
          </w:rPr>
          <w:t>California Penal Code section 502</w:t>
        </w:r>
      </w:hyperlink>
      <w:r w:rsidRPr="00DF6766">
        <w:rPr>
          <w:rFonts w:ascii="Verdana" w:hAnsi="Verdana" w:cs="Times New Roman"/>
          <w:color w:val="000000"/>
        </w:rPr>
        <w:t xml:space="preserve">. We hold that Power did not violate the CAN–SPAM Act because the transmitted messages were not materially misleading. We also hold that Power violated the CFAA and </w:t>
      </w:r>
      <w:hyperlink r:id="rId7" w:history="1">
        <w:r w:rsidRPr="00DF6766">
          <w:rPr>
            <w:rFonts w:ascii="Verdana" w:hAnsi="Verdana" w:cs="Times New Roman"/>
            <w:color w:val="0000FF"/>
          </w:rPr>
          <w:t>California Penal Code section 502</w:t>
        </w:r>
      </w:hyperlink>
      <w:r w:rsidRPr="00DF6766">
        <w:rPr>
          <w:rFonts w:ascii="Verdana" w:hAnsi="Verdana" w:cs="Times New Roman"/>
          <w:color w:val="000000"/>
        </w:rPr>
        <w:t xml:space="preserve"> only after it received Facebook’s cease and desist letter and nonetheless continued to access Facebook’s computers without permission. Accordingly, we affirm in part, reverse in part, and remand to the district court.</w:t>
      </w:r>
    </w:p>
    <w:p w14:paraId="79191755" w14:textId="77777777" w:rsidR="006202D1" w:rsidRPr="00DF6766" w:rsidRDefault="00A853CC" w:rsidP="00DF6766">
      <w:pPr>
        <w:widowControl w:val="0"/>
        <w:autoSpaceDE w:val="0"/>
        <w:autoSpaceDN w:val="0"/>
        <w:adjustRightInd w:val="0"/>
        <w:spacing w:after="0" w:line="240" w:lineRule="auto"/>
        <w:jc w:val="both"/>
        <w:rPr>
          <w:rFonts w:ascii="Verdana" w:hAnsi="Verdana" w:cs="Times New Roman"/>
          <w:color w:val="000000"/>
        </w:rPr>
      </w:pPr>
      <w:r w:rsidRPr="00DF6766">
        <w:rPr>
          <w:rFonts w:ascii="Verdana" w:hAnsi="Verdana" w:cs="Times New Roman"/>
          <w:color w:val="000000"/>
        </w:rPr>
        <w:t> </w:t>
      </w:r>
    </w:p>
    <w:p w14:paraId="52A11E39" w14:textId="77777777" w:rsidR="006202D1" w:rsidRPr="00DF6766" w:rsidRDefault="006202D1" w:rsidP="00DF6766">
      <w:pPr>
        <w:widowControl w:val="0"/>
        <w:autoSpaceDE w:val="0"/>
        <w:autoSpaceDN w:val="0"/>
        <w:adjustRightInd w:val="0"/>
        <w:spacing w:after="0" w:line="240" w:lineRule="auto"/>
        <w:jc w:val="both"/>
        <w:rPr>
          <w:rFonts w:ascii="Verdana" w:hAnsi="Verdana" w:cs="Times New Roman"/>
          <w:color w:val="000000"/>
        </w:rPr>
      </w:pPr>
      <w:bookmarkStart w:id="2" w:name="co_anchor_Ifef6e89f752211e698dc8b09b4f04"/>
      <w:bookmarkEnd w:id="2"/>
    </w:p>
    <w:p w14:paraId="0A1164C6" w14:textId="77777777" w:rsidR="006202D1" w:rsidRPr="00DF6766" w:rsidRDefault="00A853CC" w:rsidP="00DF6766">
      <w:pPr>
        <w:widowControl w:val="0"/>
        <w:autoSpaceDE w:val="0"/>
        <w:autoSpaceDN w:val="0"/>
        <w:adjustRightInd w:val="0"/>
        <w:spacing w:after="0" w:line="240" w:lineRule="auto"/>
        <w:jc w:val="center"/>
        <w:rPr>
          <w:rFonts w:ascii="Verdana" w:hAnsi="Verdana" w:cs="Times New Roman"/>
          <w:color w:val="000000"/>
        </w:rPr>
      </w:pPr>
      <w:r w:rsidRPr="00DF6766">
        <w:rPr>
          <w:rFonts w:ascii="Verdana" w:hAnsi="Verdana" w:cs="Times New Roman"/>
          <w:color w:val="000000"/>
        </w:rPr>
        <w:t>BACKGROUND</w:t>
      </w:r>
    </w:p>
    <w:p w14:paraId="5853C144" w14:textId="77777777" w:rsidR="00DF6766" w:rsidRDefault="00DF6766" w:rsidP="00DF6766">
      <w:pPr>
        <w:widowControl w:val="0"/>
        <w:autoSpaceDE w:val="0"/>
        <w:autoSpaceDN w:val="0"/>
        <w:adjustRightInd w:val="0"/>
        <w:spacing w:after="0" w:line="240" w:lineRule="auto"/>
        <w:jc w:val="both"/>
        <w:rPr>
          <w:rFonts w:ascii="Verdana" w:hAnsi="Verdana" w:cs="Times New Roman"/>
          <w:color w:val="000000"/>
        </w:rPr>
      </w:pPr>
      <w:bookmarkStart w:id="3" w:name="co_pp_sp_999_2_1"/>
      <w:bookmarkEnd w:id="3"/>
    </w:p>
    <w:p w14:paraId="202A3688" w14:textId="77777777" w:rsidR="006202D1" w:rsidRPr="00DF6766" w:rsidRDefault="00A853CC" w:rsidP="00DF6766">
      <w:pPr>
        <w:widowControl w:val="0"/>
        <w:autoSpaceDE w:val="0"/>
        <w:autoSpaceDN w:val="0"/>
        <w:adjustRightInd w:val="0"/>
        <w:spacing w:after="0" w:line="240" w:lineRule="auto"/>
        <w:jc w:val="both"/>
        <w:rPr>
          <w:rFonts w:ascii="Verdana" w:hAnsi="Verdana" w:cs="Times New Roman"/>
          <w:color w:val="000000"/>
        </w:rPr>
      </w:pPr>
      <w:r w:rsidRPr="00DF6766">
        <w:rPr>
          <w:rFonts w:ascii="Verdana" w:hAnsi="Verdana" w:cs="Times New Roman"/>
          <w:color w:val="000000"/>
        </w:rPr>
        <w:t>Defendant Power Ventures, a corporation founded and directed by CEO Steven Vachani, who also is a defendant here, operated a social networking website, Power.com. The concept was simple. Individuals who already used other social networking websites could log on to Power.com and create an account. Power.com would then aggregate the user’s social networking information. The individual, a “Power user,” could see all contacts from many social networking sites on a single page. The Power user thus could keep track of a variety of social networking friends through a single program and could click through the central Power website to individual social networking sites. By 2008, the website had attracted a growing following.</w:t>
      </w:r>
    </w:p>
    <w:p w14:paraId="0E7AB74E" w14:textId="77777777" w:rsidR="006202D1" w:rsidRPr="00DF6766" w:rsidRDefault="00A853CC" w:rsidP="00DF6766">
      <w:pPr>
        <w:widowControl w:val="0"/>
        <w:autoSpaceDE w:val="0"/>
        <w:autoSpaceDN w:val="0"/>
        <w:adjustRightInd w:val="0"/>
        <w:spacing w:after="0" w:line="240" w:lineRule="auto"/>
        <w:jc w:val="both"/>
        <w:rPr>
          <w:rFonts w:ascii="Verdana" w:hAnsi="Verdana" w:cs="Times New Roman"/>
          <w:color w:val="000000"/>
        </w:rPr>
      </w:pPr>
      <w:r w:rsidRPr="00DF6766">
        <w:rPr>
          <w:rFonts w:ascii="Verdana" w:hAnsi="Verdana" w:cs="Times New Roman"/>
          <w:color w:val="000000"/>
        </w:rPr>
        <w:t> </w:t>
      </w:r>
    </w:p>
    <w:p w14:paraId="14D6F225" w14:textId="77777777" w:rsidR="006202D1" w:rsidRPr="00DF6766" w:rsidRDefault="00A853CC" w:rsidP="00DF6766">
      <w:pPr>
        <w:widowControl w:val="0"/>
        <w:autoSpaceDE w:val="0"/>
        <w:autoSpaceDN w:val="0"/>
        <w:adjustRightInd w:val="0"/>
        <w:spacing w:after="0" w:line="240" w:lineRule="auto"/>
        <w:jc w:val="both"/>
        <w:rPr>
          <w:rFonts w:ascii="Verdana" w:hAnsi="Verdana" w:cs="Times New Roman"/>
          <w:color w:val="000000"/>
        </w:rPr>
      </w:pPr>
      <w:r w:rsidRPr="00DF6766">
        <w:rPr>
          <w:rFonts w:ascii="Verdana" w:hAnsi="Verdana" w:cs="Times New Roman"/>
          <w:color w:val="000000"/>
        </w:rPr>
        <w:t>Plaintiff Facebook also operates a social networking website, Facebook.com. Facebook users, who numbered more than 130 million during Power’s promotional campaign, can create a personal profile—a web page within the site—and can connect with other users. Facebook requires each user to register before accessing the website and requires that each user assent to its terms of use. Once registered, a Facebook user can create and customize her profile by adding personal information, photographs, or other content. A user can establish connections with other Facebook users by “friending” them; the connected users are thus called “friends.”</w:t>
      </w:r>
    </w:p>
    <w:p w14:paraId="151441DF" w14:textId="77777777" w:rsidR="006202D1" w:rsidRPr="00DF6766" w:rsidRDefault="00A853CC" w:rsidP="00DF6766">
      <w:pPr>
        <w:widowControl w:val="0"/>
        <w:autoSpaceDE w:val="0"/>
        <w:autoSpaceDN w:val="0"/>
        <w:adjustRightInd w:val="0"/>
        <w:spacing w:after="0" w:line="240" w:lineRule="auto"/>
        <w:jc w:val="both"/>
        <w:rPr>
          <w:rFonts w:ascii="Verdana" w:hAnsi="Verdana" w:cs="Times New Roman"/>
          <w:color w:val="000000"/>
        </w:rPr>
      </w:pPr>
      <w:r w:rsidRPr="00DF6766">
        <w:rPr>
          <w:rFonts w:ascii="Verdana" w:hAnsi="Verdana" w:cs="Times New Roman"/>
          <w:color w:val="000000"/>
        </w:rPr>
        <w:t> </w:t>
      </w:r>
    </w:p>
    <w:p w14:paraId="452FC5FA" w14:textId="77777777" w:rsidR="006202D1" w:rsidRPr="00DF6766" w:rsidRDefault="00A853CC" w:rsidP="00DF6766">
      <w:pPr>
        <w:widowControl w:val="0"/>
        <w:autoSpaceDE w:val="0"/>
        <w:autoSpaceDN w:val="0"/>
        <w:adjustRightInd w:val="0"/>
        <w:spacing w:after="0" w:line="240" w:lineRule="auto"/>
        <w:jc w:val="both"/>
        <w:rPr>
          <w:rFonts w:ascii="Verdana" w:hAnsi="Verdana" w:cs="Times New Roman"/>
          <w:color w:val="000000"/>
        </w:rPr>
      </w:pPr>
      <w:r w:rsidRPr="00DF6766">
        <w:rPr>
          <w:rFonts w:ascii="Verdana" w:hAnsi="Verdana" w:cs="Times New Roman"/>
          <w:color w:val="000000"/>
        </w:rPr>
        <w:t xml:space="preserve">Facebook has tried to limit and control access to its website. A non-Facebook user generally may not use the website to send messages, post photographs, or otherwise contact Facebook users through their profiles. Instead, Facebook requires third-party developers or websites that wish to contact its users through its site to enroll in a program called Facebook Connect. It requires these third parties to register with Facebook and to agree to an </w:t>
      </w:r>
      <w:r w:rsidRPr="00DF6766">
        <w:rPr>
          <w:rFonts w:ascii="Verdana" w:hAnsi="Verdana" w:cs="Times New Roman"/>
          <w:color w:val="000000"/>
        </w:rPr>
        <w:lastRenderedPageBreak/>
        <w:t>additional Developer Terms of Use Agreement.</w:t>
      </w:r>
    </w:p>
    <w:p w14:paraId="54CAE9FA" w14:textId="77777777" w:rsidR="006202D1" w:rsidRPr="00DF6766" w:rsidRDefault="00A853CC" w:rsidP="00DF6766">
      <w:pPr>
        <w:widowControl w:val="0"/>
        <w:autoSpaceDE w:val="0"/>
        <w:autoSpaceDN w:val="0"/>
        <w:adjustRightInd w:val="0"/>
        <w:spacing w:after="0" w:line="240" w:lineRule="auto"/>
        <w:jc w:val="both"/>
        <w:rPr>
          <w:rFonts w:ascii="Verdana" w:hAnsi="Verdana" w:cs="Times New Roman"/>
          <w:color w:val="000000"/>
        </w:rPr>
      </w:pPr>
      <w:r w:rsidRPr="00DF6766">
        <w:rPr>
          <w:rFonts w:ascii="Verdana" w:hAnsi="Verdana" w:cs="Times New Roman"/>
          <w:color w:val="000000"/>
        </w:rPr>
        <w:t> </w:t>
      </w:r>
    </w:p>
    <w:p w14:paraId="077EF3B7" w14:textId="77777777" w:rsidR="006202D1" w:rsidRPr="00DF6766" w:rsidRDefault="00A853CC" w:rsidP="00DF6766">
      <w:pPr>
        <w:widowControl w:val="0"/>
        <w:autoSpaceDE w:val="0"/>
        <w:autoSpaceDN w:val="0"/>
        <w:adjustRightInd w:val="0"/>
        <w:spacing w:after="0" w:line="240" w:lineRule="auto"/>
        <w:jc w:val="both"/>
        <w:rPr>
          <w:rFonts w:ascii="Verdana" w:hAnsi="Verdana" w:cs="Times New Roman"/>
          <w:color w:val="000000"/>
        </w:rPr>
      </w:pPr>
      <w:r w:rsidRPr="00DF6766">
        <w:rPr>
          <w:rFonts w:ascii="Verdana" w:hAnsi="Verdana" w:cs="Times New Roman"/>
          <w:color w:val="000000"/>
        </w:rPr>
        <w:t>In December 2008, Power began a promotional campaign to attract more traffic to its website; it hoped that Facebook users would join its site. Power placed an icon on its website with a promotional message that read: “First 100 people who bring 100 new friends to Power.com win $100.” The icon included various options for how a user could share Power with others. The user could “Share with friends through my photos,” “Share with friends through events,” or “Share with friends through status.” A button on the icon included the words “Yes, I do!” If a user clicked the “Yes, I do!” button, Power would create an event, photo, or status on the user’s Facebook profile.</w:t>
      </w:r>
    </w:p>
    <w:p w14:paraId="2C58696E" w14:textId="77777777" w:rsidR="006202D1" w:rsidRPr="00DF6766" w:rsidRDefault="00A853CC" w:rsidP="00DF6766">
      <w:pPr>
        <w:widowControl w:val="0"/>
        <w:autoSpaceDE w:val="0"/>
        <w:autoSpaceDN w:val="0"/>
        <w:adjustRightInd w:val="0"/>
        <w:spacing w:after="0" w:line="240" w:lineRule="auto"/>
        <w:jc w:val="both"/>
        <w:rPr>
          <w:rFonts w:ascii="Verdana" w:hAnsi="Verdana" w:cs="Times New Roman"/>
          <w:color w:val="000000"/>
        </w:rPr>
      </w:pPr>
      <w:r w:rsidRPr="00DF6766">
        <w:rPr>
          <w:rFonts w:ascii="Verdana" w:hAnsi="Verdana" w:cs="Times New Roman"/>
          <w:color w:val="000000"/>
        </w:rPr>
        <w:t> </w:t>
      </w:r>
    </w:p>
    <w:p w14:paraId="56D17268" w14:textId="77777777" w:rsidR="006202D1" w:rsidRPr="00DF6766" w:rsidRDefault="00A853CC" w:rsidP="00DF6766">
      <w:pPr>
        <w:widowControl w:val="0"/>
        <w:autoSpaceDE w:val="0"/>
        <w:autoSpaceDN w:val="0"/>
        <w:adjustRightInd w:val="0"/>
        <w:spacing w:after="0" w:line="240" w:lineRule="auto"/>
        <w:jc w:val="both"/>
        <w:rPr>
          <w:rFonts w:ascii="Verdana" w:hAnsi="Verdana" w:cs="Times New Roman"/>
          <w:color w:val="000000"/>
        </w:rPr>
      </w:pPr>
      <w:r w:rsidRPr="00DF6766">
        <w:rPr>
          <w:rFonts w:ascii="Verdana" w:hAnsi="Verdana" w:cs="Times New Roman"/>
          <w:color w:val="000000"/>
        </w:rPr>
        <w:t>In many instances, Power caused a message to be transmitted to the user’s friends within the Facebook system. In other instances, depending on a Facebook user’s settings, Facebook generated an e-mail message. If, for example, a Power user shared the promotion through an event, Facebook generated an e-mail message to an external e-mail account from the user to friends. The e-mail message gave the name and time of the event, listed Power as the host, and stated that the Power user was inviting the recipient to this event. The external e-mails were form e-mails, generated each time that a Facebook user invited others to an event. The “from” line in the e-mail stated that the message came from Facebook; the body was signed, “The Facebook Team.”</w:t>
      </w:r>
    </w:p>
    <w:p w14:paraId="3C1EEAA1" w14:textId="77777777" w:rsidR="006202D1" w:rsidRPr="00DF6766" w:rsidRDefault="00A853CC" w:rsidP="00DF6766">
      <w:pPr>
        <w:widowControl w:val="0"/>
        <w:autoSpaceDE w:val="0"/>
        <w:autoSpaceDN w:val="0"/>
        <w:adjustRightInd w:val="0"/>
        <w:spacing w:after="0" w:line="240" w:lineRule="auto"/>
        <w:jc w:val="both"/>
        <w:rPr>
          <w:rFonts w:ascii="Verdana" w:hAnsi="Verdana" w:cs="Times New Roman"/>
          <w:color w:val="000000"/>
        </w:rPr>
      </w:pPr>
      <w:r w:rsidRPr="00DF6766">
        <w:rPr>
          <w:rFonts w:ascii="Verdana" w:hAnsi="Verdana" w:cs="Times New Roman"/>
          <w:color w:val="000000"/>
        </w:rPr>
        <w:t> </w:t>
      </w:r>
    </w:p>
    <w:p w14:paraId="091BFD15" w14:textId="77777777" w:rsidR="006202D1" w:rsidRPr="00DF6766" w:rsidRDefault="00A853CC" w:rsidP="00DF6766">
      <w:pPr>
        <w:widowControl w:val="0"/>
        <w:autoSpaceDE w:val="0"/>
        <w:autoSpaceDN w:val="0"/>
        <w:adjustRightInd w:val="0"/>
        <w:spacing w:after="0" w:line="240" w:lineRule="auto"/>
        <w:jc w:val="both"/>
        <w:rPr>
          <w:rFonts w:ascii="Verdana" w:hAnsi="Verdana" w:cs="Times New Roman"/>
          <w:color w:val="000000"/>
        </w:rPr>
      </w:pPr>
      <w:r w:rsidRPr="00DF6766">
        <w:rPr>
          <w:rFonts w:ascii="Verdana" w:hAnsi="Verdana" w:cs="Times New Roman"/>
          <w:color w:val="000000"/>
        </w:rPr>
        <w:t>On December 1, 2008, Facebook first became aware of Power’s promotional campaign and, on that same date, Facebook sent a “cease and desist” letter to Power instructing Power to terminate its activities. Facebook tried to get Power to sign its Developer Terms of Use Agreement and enroll in Facebook Connect; Power resisted. Facebook instituted an Internet Protocol (“IP”) block in an effort to prevent Power from accessing the Facebook website from Power’s IP address. Power responded by switching IP addresses to circumvent the Facebook block. Through this period, Power continued its promotion even though it acknowledged that it took, copied, or made use of data from Facebook.com without Facebook’s permission.</w:t>
      </w:r>
    </w:p>
    <w:p w14:paraId="11C8B2E6" w14:textId="77777777" w:rsidR="006202D1" w:rsidRPr="00DF6766" w:rsidRDefault="00A853CC" w:rsidP="00DF6766">
      <w:pPr>
        <w:widowControl w:val="0"/>
        <w:autoSpaceDE w:val="0"/>
        <w:autoSpaceDN w:val="0"/>
        <w:adjustRightInd w:val="0"/>
        <w:spacing w:after="0" w:line="240" w:lineRule="auto"/>
        <w:jc w:val="both"/>
        <w:rPr>
          <w:rFonts w:ascii="Verdana" w:hAnsi="Verdana" w:cs="Times New Roman"/>
          <w:color w:val="000000"/>
        </w:rPr>
      </w:pPr>
      <w:r w:rsidRPr="00DF6766">
        <w:rPr>
          <w:rFonts w:ascii="Verdana" w:hAnsi="Verdana" w:cs="Times New Roman"/>
          <w:color w:val="000000"/>
        </w:rPr>
        <w:t> </w:t>
      </w:r>
    </w:p>
    <w:p w14:paraId="5B83D1BB" w14:textId="77777777" w:rsidR="006202D1" w:rsidRPr="00DF6766" w:rsidRDefault="00A853CC" w:rsidP="00DF6766">
      <w:pPr>
        <w:widowControl w:val="0"/>
        <w:autoSpaceDE w:val="0"/>
        <w:autoSpaceDN w:val="0"/>
        <w:adjustRightInd w:val="0"/>
        <w:spacing w:after="0" w:line="240" w:lineRule="auto"/>
        <w:jc w:val="both"/>
        <w:rPr>
          <w:rFonts w:ascii="Verdana" w:hAnsi="Verdana" w:cs="Times New Roman"/>
          <w:color w:val="000000"/>
        </w:rPr>
      </w:pPr>
      <w:bookmarkStart w:id="4" w:name="co_pp_sp_999_3_1"/>
      <w:bookmarkEnd w:id="4"/>
      <w:r w:rsidRPr="00DF6766">
        <w:rPr>
          <w:rFonts w:ascii="Verdana" w:hAnsi="Verdana" w:cs="Times New Roman"/>
          <w:color w:val="000000"/>
        </w:rPr>
        <w:t>Power’s campaign lasted less than two months. On December 20, 2008, Facebook filed this action. Toward the end of January 2009, Power ended its campaign. In April 2011, Power ceased doing business altogether. In total, more than 60,000 external e-mails promoting Power were sent through the Facebook system. An unknown number of internal Facebook messages were also transmitted.</w:t>
      </w:r>
    </w:p>
    <w:p w14:paraId="6B11EB44" w14:textId="77777777" w:rsidR="006202D1" w:rsidRPr="00DF6766" w:rsidRDefault="00A853CC" w:rsidP="00DF6766">
      <w:pPr>
        <w:widowControl w:val="0"/>
        <w:autoSpaceDE w:val="0"/>
        <w:autoSpaceDN w:val="0"/>
        <w:adjustRightInd w:val="0"/>
        <w:spacing w:after="0" w:line="240" w:lineRule="auto"/>
        <w:jc w:val="both"/>
        <w:rPr>
          <w:rFonts w:ascii="Verdana" w:hAnsi="Verdana" w:cs="Times New Roman"/>
          <w:color w:val="000000"/>
        </w:rPr>
      </w:pPr>
      <w:r w:rsidRPr="00DF6766">
        <w:rPr>
          <w:rFonts w:ascii="Verdana" w:hAnsi="Verdana" w:cs="Times New Roman"/>
          <w:color w:val="000000"/>
        </w:rPr>
        <w:t> </w:t>
      </w:r>
    </w:p>
    <w:p w14:paraId="297B84F8" w14:textId="77777777" w:rsidR="006202D1" w:rsidRPr="00DF6766" w:rsidRDefault="00A853CC" w:rsidP="00DF6766">
      <w:pPr>
        <w:widowControl w:val="0"/>
        <w:autoSpaceDE w:val="0"/>
        <w:autoSpaceDN w:val="0"/>
        <w:adjustRightInd w:val="0"/>
        <w:spacing w:after="0" w:line="240" w:lineRule="auto"/>
        <w:jc w:val="both"/>
        <w:rPr>
          <w:rFonts w:ascii="Verdana" w:hAnsi="Verdana" w:cs="Times New Roman"/>
          <w:color w:val="000000"/>
        </w:rPr>
      </w:pPr>
      <w:r w:rsidRPr="00DF6766">
        <w:rPr>
          <w:rFonts w:ascii="Verdana" w:hAnsi="Verdana" w:cs="Times New Roman"/>
          <w:color w:val="000000"/>
        </w:rPr>
        <w:t xml:space="preserve">In this action, Facebook alleged violations of the CFAA, the CAN–SPAM Act, and </w:t>
      </w:r>
      <w:hyperlink r:id="rId8" w:history="1">
        <w:r w:rsidRPr="00DF6766">
          <w:rPr>
            <w:rFonts w:ascii="Verdana" w:hAnsi="Verdana" w:cs="Times New Roman"/>
            <w:color w:val="0000FF"/>
          </w:rPr>
          <w:t>California Penal Code section 502</w:t>
        </w:r>
      </w:hyperlink>
      <w:r w:rsidRPr="00DF6766">
        <w:rPr>
          <w:rFonts w:ascii="Verdana" w:hAnsi="Verdana" w:cs="Times New Roman"/>
          <w:color w:val="000000"/>
        </w:rPr>
        <w:t xml:space="preserve"> and moved for summary judgment. The district court granted summary judgment to Facebook on all three claims. The district court awarded statutory damages of $3,031,350, compensatory damages, and permanent injunctive relief, and it held that Vachani was personally liable for Power’s actions. Discovery disputes persisted after the judgment; a magistrate judge ordered Power to pay $39,796.73 in costs and fees for a renewed </w:t>
      </w:r>
      <w:hyperlink r:id="rId9" w:history="1">
        <w:r w:rsidRPr="00DF6766">
          <w:rPr>
            <w:rFonts w:ascii="Verdana" w:hAnsi="Verdana" w:cs="Times New Roman"/>
            <w:color w:val="0000FF"/>
          </w:rPr>
          <w:t>Federal Civil Procedure Rule 30(b)(6)</w:t>
        </w:r>
      </w:hyperlink>
      <w:r w:rsidRPr="00DF6766">
        <w:rPr>
          <w:rFonts w:ascii="Verdana" w:hAnsi="Verdana" w:cs="Times New Roman"/>
          <w:color w:val="000000"/>
        </w:rPr>
        <w:t xml:space="preserve"> deposition. Power filed a motion for reconsideration, which the district court denied. Defendants timely appeal both the judgment and the discovery sanctions.</w:t>
      </w:r>
    </w:p>
    <w:p w14:paraId="02A8DBEA" w14:textId="77777777" w:rsidR="006202D1" w:rsidRDefault="00A853CC" w:rsidP="00DF6766">
      <w:pPr>
        <w:widowControl w:val="0"/>
        <w:autoSpaceDE w:val="0"/>
        <w:autoSpaceDN w:val="0"/>
        <w:adjustRightInd w:val="0"/>
        <w:spacing w:after="0" w:line="240" w:lineRule="auto"/>
        <w:jc w:val="both"/>
        <w:rPr>
          <w:rFonts w:ascii="Verdana" w:hAnsi="Verdana" w:cs="Times New Roman"/>
          <w:color w:val="000000"/>
        </w:rPr>
      </w:pPr>
      <w:r w:rsidRPr="00DF6766">
        <w:rPr>
          <w:rFonts w:ascii="Verdana" w:hAnsi="Verdana" w:cs="Times New Roman"/>
          <w:color w:val="000000"/>
        </w:rPr>
        <w:t> </w:t>
      </w:r>
    </w:p>
    <w:p w14:paraId="23094DDE" w14:textId="77777777" w:rsidR="005D0DCC" w:rsidRPr="00DF6766" w:rsidRDefault="005D0DCC" w:rsidP="00DF6766">
      <w:pPr>
        <w:widowControl w:val="0"/>
        <w:autoSpaceDE w:val="0"/>
        <w:autoSpaceDN w:val="0"/>
        <w:adjustRightInd w:val="0"/>
        <w:spacing w:after="0" w:line="240" w:lineRule="auto"/>
        <w:jc w:val="both"/>
        <w:rPr>
          <w:rFonts w:ascii="Verdana" w:hAnsi="Verdana" w:cs="Times New Roman"/>
          <w:color w:val="000000"/>
        </w:rPr>
      </w:pPr>
      <w:r>
        <w:rPr>
          <w:rFonts w:ascii="Verdana" w:hAnsi="Verdana" w:cs="Times New Roman"/>
          <w:color w:val="000000"/>
        </w:rPr>
        <w:t>***</w:t>
      </w:r>
    </w:p>
    <w:p w14:paraId="36FCF76C" w14:textId="77777777" w:rsidR="006202D1" w:rsidRPr="00DF6766" w:rsidRDefault="006202D1" w:rsidP="00DF6766">
      <w:pPr>
        <w:widowControl w:val="0"/>
        <w:autoSpaceDE w:val="0"/>
        <w:autoSpaceDN w:val="0"/>
        <w:adjustRightInd w:val="0"/>
        <w:spacing w:after="0" w:line="240" w:lineRule="auto"/>
        <w:jc w:val="both"/>
        <w:rPr>
          <w:rFonts w:ascii="Verdana" w:hAnsi="Verdana" w:cs="Times New Roman"/>
          <w:color w:val="000000"/>
        </w:rPr>
      </w:pPr>
      <w:bookmarkStart w:id="5" w:name="co_anchor_Ifef6e8a0752211e698dc8b09b4f04"/>
      <w:bookmarkEnd w:id="5"/>
    </w:p>
    <w:p w14:paraId="21ACB670" w14:textId="77777777" w:rsidR="006202D1" w:rsidRPr="00DF6766" w:rsidRDefault="00A853CC" w:rsidP="00DF6766">
      <w:pPr>
        <w:widowControl w:val="0"/>
        <w:autoSpaceDE w:val="0"/>
        <w:autoSpaceDN w:val="0"/>
        <w:adjustRightInd w:val="0"/>
        <w:spacing w:after="0" w:line="240" w:lineRule="auto"/>
        <w:jc w:val="center"/>
        <w:rPr>
          <w:rFonts w:ascii="Verdana" w:hAnsi="Verdana" w:cs="Times New Roman"/>
          <w:i/>
          <w:iCs/>
          <w:color w:val="000000"/>
        </w:rPr>
      </w:pPr>
      <w:r w:rsidRPr="00DF6766">
        <w:rPr>
          <w:rFonts w:ascii="Verdana" w:hAnsi="Verdana" w:cs="Times New Roman"/>
          <w:color w:val="000000"/>
        </w:rPr>
        <w:lastRenderedPageBreak/>
        <w:t xml:space="preserve">B. </w:t>
      </w:r>
      <w:r w:rsidRPr="00DF6766">
        <w:rPr>
          <w:rFonts w:ascii="Verdana" w:hAnsi="Verdana" w:cs="Times New Roman"/>
          <w:i/>
          <w:iCs/>
          <w:color w:val="000000"/>
        </w:rPr>
        <w:t>CFAA</w:t>
      </w:r>
    </w:p>
    <w:p w14:paraId="79DFB61C" w14:textId="77777777" w:rsidR="006202D1" w:rsidRPr="00DF6766" w:rsidRDefault="00A853CC" w:rsidP="00DF6766">
      <w:pPr>
        <w:widowControl w:val="0"/>
        <w:autoSpaceDE w:val="0"/>
        <w:autoSpaceDN w:val="0"/>
        <w:adjustRightInd w:val="0"/>
        <w:spacing w:after="0" w:line="240" w:lineRule="auto"/>
        <w:jc w:val="both"/>
        <w:rPr>
          <w:rFonts w:ascii="Verdana" w:hAnsi="Verdana" w:cs="Times New Roman"/>
          <w:color w:val="000000"/>
        </w:rPr>
      </w:pPr>
      <w:bookmarkStart w:id="6" w:name="co_anchor_B52039356248_1"/>
      <w:bookmarkEnd w:id="6"/>
      <w:r w:rsidRPr="00DF6766">
        <w:rPr>
          <w:rFonts w:ascii="Verdana" w:hAnsi="Verdana" w:cs="Times New Roman"/>
          <w:color w:val="000000"/>
        </w:rPr>
        <w:t xml:space="preserve">The CFAA prohibits acts of computer trespass by those who are not authorized users or who exceed authorized use. It creates criminal and civil liability for whoever “intentionally accesses a computer without authorization or exceeds authorized access, and thereby obtains ... information from any protected computer.” </w:t>
      </w:r>
      <w:hyperlink r:id="rId10" w:anchor="co_pp_9bab000016341" w:history="1">
        <w:r w:rsidRPr="00DF6766">
          <w:rPr>
            <w:rFonts w:ascii="Verdana" w:hAnsi="Verdana" w:cs="Times New Roman"/>
            <w:color w:val="0000FF"/>
          </w:rPr>
          <w:t>18 U.S.C. § 1030(a)(2)(C)</w:t>
        </w:r>
      </w:hyperlink>
      <w:r w:rsidRPr="00DF6766">
        <w:rPr>
          <w:rFonts w:ascii="Verdana" w:hAnsi="Verdana" w:cs="Times New Roman"/>
          <w:color w:val="000000"/>
        </w:rPr>
        <w:t xml:space="preserve">. “The statute thus provides two ways of committing the crime of improperly accessing a protected computer: (1) obtaining access without authorization; and (2) obtaining access with authorization but then using that access improperly.” </w:t>
      </w:r>
      <w:hyperlink r:id="rId11" w:anchor="co_pp_sp_708_713" w:history="1">
        <w:r w:rsidRPr="00DF6766">
          <w:rPr>
            <w:rFonts w:ascii="Verdana" w:hAnsi="Verdana" w:cs="Times New Roman"/>
            <w:i/>
            <w:iCs/>
            <w:color w:val="0000FF"/>
          </w:rPr>
          <w:t>Musacchio v. United States</w:t>
        </w:r>
        <w:r w:rsidRPr="00DF6766">
          <w:rPr>
            <w:rFonts w:ascii="Verdana" w:hAnsi="Verdana" w:cs="Times New Roman"/>
            <w:color w:val="0000FF"/>
          </w:rPr>
          <w:t>, ––– U.S. ––––, 136 S.Ct. 709, 713, 193 L.Ed.2d 639 (2016)</w:t>
        </w:r>
      </w:hyperlink>
      <w:r w:rsidRPr="00DF6766">
        <w:rPr>
          <w:rFonts w:ascii="Verdana" w:hAnsi="Verdana" w:cs="Times New Roman"/>
          <w:color w:val="000000"/>
        </w:rPr>
        <w:t xml:space="preserve">. The CFAA provides a private right of action for “[a]ny person who suffers damage or loss by reason of a violation of this section.” </w:t>
      </w:r>
      <w:hyperlink r:id="rId12" w:anchor="co_pp_16f4000091d86" w:history="1">
        <w:r w:rsidRPr="00DF6766">
          <w:rPr>
            <w:rFonts w:ascii="Verdana" w:hAnsi="Verdana" w:cs="Times New Roman"/>
            <w:color w:val="0000FF"/>
          </w:rPr>
          <w:t>18 U.S.C. § 1030(g)</w:t>
        </w:r>
      </w:hyperlink>
      <w:r w:rsidRPr="00DF6766">
        <w:rPr>
          <w:rFonts w:ascii="Verdana" w:hAnsi="Verdana" w:cs="Times New Roman"/>
          <w:color w:val="000000"/>
        </w:rPr>
        <w:t>.</w:t>
      </w:r>
    </w:p>
    <w:p w14:paraId="165A3EB2" w14:textId="77777777" w:rsidR="006202D1" w:rsidRPr="00DF6766" w:rsidRDefault="00A853CC" w:rsidP="00DF6766">
      <w:pPr>
        <w:widowControl w:val="0"/>
        <w:autoSpaceDE w:val="0"/>
        <w:autoSpaceDN w:val="0"/>
        <w:adjustRightInd w:val="0"/>
        <w:spacing w:after="0" w:line="240" w:lineRule="auto"/>
        <w:jc w:val="both"/>
        <w:rPr>
          <w:rFonts w:ascii="Verdana" w:hAnsi="Verdana" w:cs="Times New Roman"/>
          <w:color w:val="000000"/>
        </w:rPr>
      </w:pPr>
      <w:r w:rsidRPr="00DF6766">
        <w:rPr>
          <w:rFonts w:ascii="Verdana" w:hAnsi="Verdana" w:cs="Times New Roman"/>
          <w:color w:val="000000"/>
        </w:rPr>
        <w:t> </w:t>
      </w:r>
    </w:p>
    <w:p w14:paraId="1F23E325" w14:textId="77777777" w:rsidR="006202D1" w:rsidRPr="00DF6766" w:rsidRDefault="00A853CC" w:rsidP="00DF6766">
      <w:pPr>
        <w:widowControl w:val="0"/>
        <w:autoSpaceDE w:val="0"/>
        <w:autoSpaceDN w:val="0"/>
        <w:adjustRightInd w:val="0"/>
        <w:spacing w:after="0" w:line="240" w:lineRule="auto"/>
        <w:jc w:val="both"/>
        <w:rPr>
          <w:rFonts w:ascii="Verdana" w:hAnsi="Verdana" w:cs="Times New Roman"/>
          <w:color w:val="000000"/>
        </w:rPr>
      </w:pPr>
      <w:bookmarkStart w:id="7" w:name="co_anchor_B62039356248_1"/>
      <w:bookmarkEnd w:id="7"/>
      <w:r w:rsidRPr="00DF6766">
        <w:rPr>
          <w:rFonts w:ascii="Verdana" w:hAnsi="Verdana" w:cs="Times New Roman"/>
          <w:color w:val="000000"/>
        </w:rPr>
        <w:t xml:space="preserve">First, we hold that Facebook suffered a loss within the meaning of the CFAA. The statute permits a private right of action when a party has suffered a loss of at least $5,000 during a one-year period. </w:t>
      </w:r>
      <w:hyperlink r:id="rId13" w:anchor="co_pp_26460000f6b15" w:history="1">
        <w:r w:rsidRPr="00DF6766">
          <w:rPr>
            <w:rFonts w:ascii="Verdana" w:hAnsi="Verdana" w:cs="Times New Roman"/>
            <w:i/>
            <w:iCs/>
            <w:color w:val="0000FF"/>
          </w:rPr>
          <w:t>Id.</w:t>
        </w:r>
        <w:r w:rsidRPr="00DF6766">
          <w:rPr>
            <w:rFonts w:ascii="Verdana" w:hAnsi="Verdana" w:cs="Times New Roman"/>
            <w:color w:val="0000FF"/>
          </w:rPr>
          <w:t xml:space="preserve"> § 1030(c)(4)(A)(i)(I)</w:t>
        </w:r>
      </w:hyperlink>
      <w:r w:rsidRPr="00DF6766">
        <w:rPr>
          <w:rFonts w:ascii="Verdana" w:hAnsi="Verdana" w:cs="Times New Roman"/>
          <w:color w:val="000000"/>
        </w:rPr>
        <w:t xml:space="preserve">. The statute defines “loss” to mean “any reasonable cost to any victim, including the cost of responding to an offense, conducting a damage assessment, and restoring the data, program, system, or information to its condition prior to the offense, and any revenue lost, cost incurred, or other consequential damages incurred because of interruption of service.” </w:t>
      </w:r>
      <w:hyperlink r:id="rId14" w:anchor="co_pp_935f000049924" w:history="1">
        <w:r w:rsidRPr="00DF6766">
          <w:rPr>
            <w:rFonts w:ascii="Verdana" w:hAnsi="Verdana" w:cs="Times New Roman"/>
            <w:i/>
            <w:iCs/>
            <w:color w:val="0000FF"/>
          </w:rPr>
          <w:t>Id.</w:t>
        </w:r>
        <w:r w:rsidRPr="00DF6766">
          <w:rPr>
            <w:rFonts w:ascii="Verdana" w:hAnsi="Verdana" w:cs="Times New Roman"/>
            <w:color w:val="0000FF"/>
          </w:rPr>
          <w:t xml:space="preserve"> § 1030(e)(11)</w:t>
        </w:r>
      </w:hyperlink>
      <w:r w:rsidRPr="00DF6766">
        <w:rPr>
          <w:rFonts w:ascii="Verdana" w:hAnsi="Verdana" w:cs="Times New Roman"/>
          <w:color w:val="000000"/>
        </w:rPr>
        <w:t>. It is undisputed that Facebook employees spent many hours, totaling more than $5,000 in costs, analyzing, investigating, and responding to Power’s actions. Accordingly, Facebook suffered a loss under the CFAA.</w:t>
      </w:r>
    </w:p>
    <w:p w14:paraId="3ECDC9EC" w14:textId="77777777" w:rsidR="006202D1" w:rsidRPr="00DF6766" w:rsidRDefault="00A853CC" w:rsidP="00DF6766">
      <w:pPr>
        <w:widowControl w:val="0"/>
        <w:autoSpaceDE w:val="0"/>
        <w:autoSpaceDN w:val="0"/>
        <w:adjustRightInd w:val="0"/>
        <w:spacing w:after="0" w:line="240" w:lineRule="auto"/>
        <w:jc w:val="both"/>
        <w:rPr>
          <w:rFonts w:ascii="Verdana" w:hAnsi="Verdana" w:cs="Times New Roman"/>
          <w:color w:val="000000"/>
        </w:rPr>
      </w:pPr>
      <w:r w:rsidRPr="00DF6766">
        <w:rPr>
          <w:rFonts w:ascii="Verdana" w:hAnsi="Verdana" w:cs="Times New Roman"/>
          <w:color w:val="000000"/>
        </w:rPr>
        <w:t> </w:t>
      </w:r>
    </w:p>
    <w:p w14:paraId="77C84783" w14:textId="77777777" w:rsidR="006202D1" w:rsidRPr="00DF6766" w:rsidRDefault="00A853CC" w:rsidP="00DF6766">
      <w:pPr>
        <w:widowControl w:val="0"/>
        <w:autoSpaceDE w:val="0"/>
        <w:autoSpaceDN w:val="0"/>
        <w:adjustRightInd w:val="0"/>
        <w:spacing w:after="0" w:line="240" w:lineRule="auto"/>
        <w:jc w:val="both"/>
        <w:rPr>
          <w:rFonts w:ascii="Verdana" w:hAnsi="Verdana" w:cs="Times New Roman"/>
          <w:color w:val="000000"/>
        </w:rPr>
      </w:pPr>
      <w:r w:rsidRPr="00DF6766">
        <w:rPr>
          <w:rFonts w:ascii="Verdana" w:hAnsi="Verdana" w:cs="Times New Roman"/>
          <w:color w:val="000000"/>
        </w:rPr>
        <w:t>We next consider whether Power accessed Facebook’s computers knowing that it was not authorized to do so. We have previously considered whether a defendant has accessed a computer “without authorization” or in a manner that “exceeds authorized access” under the CFAA in three separate opinions.</w:t>
      </w:r>
    </w:p>
    <w:p w14:paraId="596C5231" w14:textId="77777777" w:rsidR="006202D1" w:rsidRPr="00DF6766" w:rsidRDefault="00A853CC" w:rsidP="00DF6766">
      <w:pPr>
        <w:widowControl w:val="0"/>
        <w:autoSpaceDE w:val="0"/>
        <w:autoSpaceDN w:val="0"/>
        <w:adjustRightInd w:val="0"/>
        <w:spacing w:after="0" w:line="240" w:lineRule="auto"/>
        <w:jc w:val="both"/>
        <w:rPr>
          <w:rFonts w:ascii="Verdana" w:hAnsi="Verdana" w:cs="Times New Roman"/>
          <w:color w:val="000000"/>
        </w:rPr>
      </w:pPr>
      <w:r w:rsidRPr="00DF6766">
        <w:rPr>
          <w:rFonts w:ascii="Verdana" w:hAnsi="Verdana" w:cs="Times New Roman"/>
          <w:color w:val="000000"/>
        </w:rPr>
        <w:t> </w:t>
      </w:r>
    </w:p>
    <w:p w14:paraId="2B9A0755" w14:textId="77777777" w:rsidR="006202D1" w:rsidRPr="00DF6766" w:rsidRDefault="00A853CC" w:rsidP="00DF6766">
      <w:pPr>
        <w:widowControl w:val="0"/>
        <w:autoSpaceDE w:val="0"/>
        <w:autoSpaceDN w:val="0"/>
        <w:adjustRightInd w:val="0"/>
        <w:spacing w:after="0" w:line="240" w:lineRule="auto"/>
        <w:jc w:val="both"/>
        <w:rPr>
          <w:rFonts w:ascii="Verdana" w:hAnsi="Verdana" w:cs="Times New Roman"/>
          <w:color w:val="000000"/>
        </w:rPr>
      </w:pPr>
      <w:r w:rsidRPr="00DF6766">
        <w:rPr>
          <w:rFonts w:ascii="Verdana" w:hAnsi="Verdana" w:cs="Times New Roman"/>
          <w:color w:val="000000"/>
        </w:rPr>
        <w:t xml:space="preserve">Most recently, in </w:t>
      </w:r>
      <w:hyperlink r:id="rId15" w:history="1">
        <w:r w:rsidRPr="00DF6766">
          <w:rPr>
            <w:rFonts w:ascii="Verdana" w:hAnsi="Verdana" w:cs="Times New Roman"/>
            <w:i/>
            <w:iCs/>
            <w:color w:val="0000FF"/>
          </w:rPr>
          <w:t>United States v. Nosal</w:t>
        </w:r>
        <w:r w:rsidRPr="00DF6766">
          <w:rPr>
            <w:rFonts w:ascii="Verdana" w:hAnsi="Verdana" w:cs="Times New Roman"/>
            <w:color w:val="0000FF"/>
          </w:rPr>
          <w:t>, ––– F.3d ––––, ––––, 2016 WL 3608752 (9th Cir.2016)</w:t>
        </w:r>
      </w:hyperlink>
      <w:r w:rsidRPr="00DF6766">
        <w:rPr>
          <w:rFonts w:ascii="Verdana" w:hAnsi="Verdana" w:cs="Times New Roman"/>
          <w:color w:val="000000"/>
        </w:rPr>
        <w:t xml:space="preserve"> (“</w:t>
      </w:r>
      <w:hyperlink r:id="rId16" w:history="1">
        <w:r w:rsidRPr="00DF6766">
          <w:rPr>
            <w:rFonts w:ascii="Verdana" w:hAnsi="Verdana" w:cs="Times New Roman"/>
            <w:i/>
            <w:iCs/>
            <w:color w:val="0000FF"/>
          </w:rPr>
          <w:t>Nosal II</w:t>
        </w:r>
      </w:hyperlink>
      <w:r w:rsidRPr="00DF6766">
        <w:rPr>
          <w:rFonts w:ascii="Verdana" w:hAnsi="Verdana" w:cs="Times New Roman"/>
          <w:color w:val="000000"/>
        </w:rPr>
        <w:t xml:space="preserve">”), we considered the definition of “without authorization.” In that case, an employee, David Nosal, had worked at an executive search firm, Korn/Ferry, until he decided to leave and start his own competing business. </w:t>
      </w:r>
      <w:hyperlink r:id="rId17" w:history="1">
        <w:r w:rsidRPr="00DF6766">
          <w:rPr>
            <w:rFonts w:ascii="Verdana" w:hAnsi="Verdana" w:cs="Times New Roman"/>
            <w:i/>
            <w:iCs/>
            <w:color w:val="0000FF"/>
          </w:rPr>
          <w:t>Id.</w:t>
        </w:r>
        <w:r w:rsidRPr="00DF6766">
          <w:rPr>
            <w:rFonts w:ascii="Verdana" w:hAnsi="Verdana" w:cs="Times New Roman"/>
            <w:color w:val="0000FF"/>
          </w:rPr>
          <w:t xml:space="preserve"> at ––––</w:t>
        </w:r>
      </w:hyperlink>
      <w:r w:rsidRPr="00DF6766">
        <w:rPr>
          <w:rFonts w:ascii="Verdana" w:hAnsi="Verdana" w:cs="Times New Roman"/>
          <w:color w:val="000000"/>
        </w:rPr>
        <w:t xml:space="preserve">. Though Korn/Ferry explicitly revoked Nosal’s computer access credentials, Nosal enlisted the support of his former executive assistant, who remained authorized to access the company computers. He used her password to continue accessing company computers and privileged information. </w:t>
      </w:r>
      <w:hyperlink r:id="rId18" w:history="1">
        <w:r w:rsidRPr="00DF6766">
          <w:rPr>
            <w:rFonts w:ascii="Verdana" w:hAnsi="Verdana" w:cs="Times New Roman"/>
            <w:i/>
            <w:iCs/>
            <w:color w:val="0000FF"/>
          </w:rPr>
          <w:t>Id.</w:t>
        </w:r>
        <w:r w:rsidRPr="00DF6766">
          <w:rPr>
            <w:rFonts w:ascii="Verdana" w:hAnsi="Verdana" w:cs="Times New Roman"/>
            <w:color w:val="0000FF"/>
          </w:rPr>
          <w:t xml:space="preserve"> at –––– – ––––</w:t>
        </w:r>
      </w:hyperlink>
      <w:r w:rsidRPr="00DF6766">
        <w:rPr>
          <w:rFonts w:ascii="Verdana" w:hAnsi="Verdana" w:cs="Times New Roman"/>
          <w:color w:val="000000"/>
        </w:rPr>
        <w:t xml:space="preserve">. After Nosal was prosecuted and convicted under the CFAA, on appeal, we were “asked to decide whether the ‘without authorization’ prohibition of the CFAA extends to a former employee whose computer access credentials have been rescinded but who, disregarding the revocation, accesses the computer by other means.” </w:t>
      </w:r>
      <w:hyperlink r:id="rId19" w:history="1">
        <w:r w:rsidRPr="00DF6766">
          <w:rPr>
            <w:rFonts w:ascii="Verdana" w:hAnsi="Verdana" w:cs="Times New Roman"/>
            <w:i/>
            <w:iCs/>
            <w:color w:val="0000FF"/>
          </w:rPr>
          <w:t>Id.</w:t>
        </w:r>
        <w:r w:rsidRPr="00DF6766">
          <w:rPr>
            <w:rFonts w:ascii="Verdana" w:hAnsi="Verdana" w:cs="Times New Roman"/>
            <w:color w:val="0000FF"/>
          </w:rPr>
          <w:t xml:space="preserve"> at ––––</w:t>
        </w:r>
      </w:hyperlink>
      <w:r w:rsidRPr="00DF6766">
        <w:rPr>
          <w:rFonts w:ascii="Verdana" w:hAnsi="Verdana" w:cs="Times New Roman"/>
          <w:color w:val="000000"/>
        </w:rPr>
        <w:t>. We concluded that it did. We held that</w:t>
      </w:r>
    </w:p>
    <w:p w14:paraId="4F180013" w14:textId="77777777" w:rsidR="006202D1" w:rsidRPr="00DF6766" w:rsidRDefault="00A853CC" w:rsidP="00DF6766">
      <w:pPr>
        <w:widowControl w:val="0"/>
        <w:autoSpaceDE w:val="0"/>
        <w:autoSpaceDN w:val="0"/>
        <w:adjustRightInd w:val="0"/>
        <w:spacing w:after="0" w:line="240" w:lineRule="auto"/>
        <w:ind w:left="1000" w:right="800"/>
        <w:jc w:val="both"/>
        <w:rPr>
          <w:rFonts w:ascii="Verdana" w:hAnsi="Verdana" w:cs="Times New Roman"/>
          <w:color w:val="000000"/>
        </w:rPr>
      </w:pPr>
      <w:r w:rsidRPr="00DF6766">
        <w:rPr>
          <w:rFonts w:ascii="Verdana" w:hAnsi="Verdana" w:cs="Times New Roman"/>
          <w:color w:val="000000"/>
        </w:rPr>
        <w:t>“without authorization” is an unambiguous, non-technical term that, given its plain and ordinary meaning, means accessing a protected computer without permission. This definition has a simple corollary: once authorization to access a computer has been affirmatively revoked, the user cannot sidestep the statute by going through the back door and accessing the computer through a third party.</w:t>
      </w:r>
    </w:p>
    <w:p w14:paraId="66C7BB95" w14:textId="77777777" w:rsidR="006202D1" w:rsidRPr="00DF6766" w:rsidRDefault="00A853CC" w:rsidP="00DF6766">
      <w:pPr>
        <w:widowControl w:val="0"/>
        <w:autoSpaceDE w:val="0"/>
        <w:autoSpaceDN w:val="0"/>
        <w:adjustRightInd w:val="0"/>
        <w:spacing w:after="0" w:line="240" w:lineRule="auto"/>
        <w:jc w:val="both"/>
        <w:rPr>
          <w:rFonts w:ascii="Verdana" w:hAnsi="Verdana" w:cs="Times New Roman"/>
          <w:color w:val="000000"/>
        </w:rPr>
      </w:pPr>
      <w:bookmarkStart w:id="8" w:name="co_pp_sp_999_6_1"/>
      <w:bookmarkEnd w:id="8"/>
      <w:r w:rsidRPr="00DF6766">
        <w:rPr>
          <w:rFonts w:ascii="Verdana" w:hAnsi="Verdana" w:cs="Times New Roman"/>
          <w:b/>
          <w:bCs/>
          <w:color w:val="000000"/>
        </w:rPr>
        <w:t>*6</w:t>
      </w:r>
      <w:r w:rsidRPr="00DF6766">
        <w:rPr>
          <w:rFonts w:ascii="Verdana" w:hAnsi="Verdana" w:cs="Times New Roman"/>
          <w:color w:val="000000"/>
        </w:rPr>
        <w:t xml:space="preserve"> </w:t>
      </w:r>
      <w:hyperlink r:id="rId20" w:history="1">
        <w:r w:rsidRPr="00DF6766">
          <w:rPr>
            <w:rFonts w:ascii="Verdana" w:hAnsi="Verdana" w:cs="Times New Roman"/>
            <w:i/>
            <w:iCs/>
            <w:color w:val="0000FF"/>
          </w:rPr>
          <w:t>Id.</w:t>
        </w:r>
        <w:r w:rsidRPr="00DF6766">
          <w:rPr>
            <w:rFonts w:ascii="Verdana" w:hAnsi="Verdana" w:cs="Times New Roman"/>
            <w:color w:val="0000FF"/>
          </w:rPr>
          <w:t xml:space="preserve"> at ––––</w:t>
        </w:r>
      </w:hyperlink>
      <w:r w:rsidRPr="00DF6766">
        <w:rPr>
          <w:rFonts w:ascii="Verdana" w:hAnsi="Verdana" w:cs="Times New Roman"/>
          <w:color w:val="000000"/>
        </w:rPr>
        <w:t>.</w:t>
      </w:r>
    </w:p>
    <w:p w14:paraId="17742570" w14:textId="77777777" w:rsidR="006202D1" w:rsidRPr="00DF6766" w:rsidRDefault="00A853CC" w:rsidP="00DF6766">
      <w:pPr>
        <w:widowControl w:val="0"/>
        <w:autoSpaceDE w:val="0"/>
        <w:autoSpaceDN w:val="0"/>
        <w:adjustRightInd w:val="0"/>
        <w:spacing w:after="0" w:line="240" w:lineRule="auto"/>
        <w:jc w:val="both"/>
        <w:rPr>
          <w:rFonts w:ascii="Verdana" w:hAnsi="Verdana" w:cs="Times New Roman"/>
          <w:color w:val="000000"/>
        </w:rPr>
      </w:pPr>
      <w:r w:rsidRPr="00DF6766">
        <w:rPr>
          <w:rFonts w:ascii="Verdana" w:hAnsi="Verdana" w:cs="Times New Roman"/>
          <w:color w:val="000000"/>
        </w:rPr>
        <w:t> </w:t>
      </w:r>
    </w:p>
    <w:p w14:paraId="5DCCF926" w14:textId="77777777" w:rsidR="006202D1" w:rsidRPr="00DF6766" w:rsidRDefault="00A853CC" w:rsidP="00DF6766">
      <w:pPr>
        <w:widowControl w:val="0"/>
        <w:autoSpaceDE w:val="0"/>
        <w:autoSpaceDN w:val="0"/>
        <w:adjustRightInd w:val="0"/>
        <w:spacing w:after="0" w:line="240" w:lineRule="auto"/>
        <w:jc w:val="both"/>
        <w:rPr>
          <w:rFonts w:ascii="Verdana" w:hAnsi="Verdana" w:cs="Times New Roman"/>
          <w:color w:val="000000"/>
        </w:rPr>
      </w:pPr>
      <w:r w:rsidRPr="00DF6766">
        <w:rPr>
          <w:rFonts w:ascii="Verdana" w:hAnsi="Verdana" w:cs="Times New Roman"/>
          <w:color w:val="000000"/>
        </w:rPr>
        <w:lastRenderedPageBreak/>
        <w:t xml:space="preserve">The holding in </w:t>
      </w:r>
      <w:hyperlink r:id="rId21" w:history="1">
        <w:r w:rsidRPr="00DF6766">
          <w:rPr>
            <w:rFonts w:ascii="Verdana" w:hAnsi="Verdana" w:cs="Times New Roman"/>
            <w:i/>
            <w:iCs/>
            <w:color w:val="0000FF"/>
          </w:rPr>
          <w:t>Nosal II</w:t>
        </w:r>
      </w:hyperlink>
      <w:r w:rsidRPr="00DF6766">
        <w:rPr>
          <w:rFonts w:ascii="Verdana" w:hAnsi="Verdana" w:cs="Times New Roman"/>
          <w:color w:val="000000"/>
        </w:rPr>
        <w:t xml:space="preserve"> clarified our two earlier cases on the CFAA. In </w:t>
      </w:r>
      <w:hyperlink r:id="rId22" w:history="1">
        <w:r w:rsidRPr="00DF6766">
          <w:rPr>
            <w:rFonts w:ascii="Verdana" w:hAnsi="Verdana" w:cs="Times New Roman"/>
            <w:i/>
            <w:iCs/>
            <w:color w:val="0000FF"/>
          </w:rPr>
          <w:t>LVRC Holdings LCC v. Brekka</w:t>
        </w:r>
        <w:r w:rsidRPr="00DF6766">
          <w:rPr>
            <w:rFonts w:ascii="Verdana" w:hAnsi="Verdana" w:cs="Times New Roman"/>
            <w:color w:val="0000FF"/>
          </w:rPr>
          <w:t>, 581 F.3d 1127 (9th Cir.2009)</w:t>
        </w:r>
      </w:hyperlink>
      <w:r w:rsidRPr="00DF6766">
        <w:rPr>
          <w:rFonts w:ascii="Verdana" w:hAnsi="Verdana" w:cs="Times New Roman"/>
          <w:color w:val="000000"/>
        </w:rPr>
        <w:t xml:space="preserve">, an employee logged onto his employer’s computer, accessed confidential information, and sent e-mails from the computer to himself and his wife with the intention of starting a competing business. We held that a person is “without authorization” under the CFAA “when the person has not received permission to use the computer for any purpose (such as when a hacker accesses someone’s computer without any permission), or when the employer has rescinded permission to access the computer and the defendant uses the computer anyway.” </w:t>
      </w:r>
      <w:hyperlink r:id="rId23" w:anchor="co_pp_sp_506_1135" w:history="1">
        <w:r w:rsidRPr="00DF6766">
          <w:rPr>
            <w:rFonts w:ascii="Verdana" w:hAnsi="Verdana" w:cs="Times New Roman"/>
            <w:i/>
            <w:iCs/>
            <w:color w:val="0000FF"/>
          </w:rPr>
          <w:t>Id.</w:t>
        </w:r>
        <w:r w:rsidRPr="00DF6766">
          <w:rPr>
            <w:rFonts w:ascii="Verdana" w:hAnsi="Verdana" w:cs="Times New Roman"/>
            <w:color w:val="0000FF"/>
          </w:rPr>
          <w:t xml:space="preserve"> at 1135</w:t>
        </w:r>
      </w:hyperlink>
      <w:r w:rsidRPr="00DF6766">
        <w:rPr>
          <w:rFonts w:ascii="Verdana" w:hAnsi="Verdana" w:cs="Times New Roman"/>
          <w:color w:val="000000"/>
        </w:rPr>
        <w:t xml:space="preserve">. Because the employee had sent e-mails while he still had authorized access to the company’s computers, his actions did not constitute unauthorized use and did not run afoul of the CFAA. </w:t>
      </w:r>
      <w:hyperlink r:id="rId24" w:history="1">
        <w:r w:rsidRPr="00DF6766">
          <w:rPr>
            <w:rFonts w:ascii="Verdana" w:hAnsi="Verdana" w:cs="Times New Roman"/>
            <w:i/>
            <w:iCs/>
            <w:color w:val="0000FF"/>
          </w:rPr>
          <w:t>Id.</w:t>
        </w:r>
      </w:hyperlink>
      <w:r w:rsidRPr="00DF6766">
        <w:rPr>
          <w:rFonts w:ascii="Verdana" w:hAnsi="Verdana" w:cs="Times New Roman"/>
          <w:color w:val="000000"/>
        </w:rPr>
        <w:t xml:space="preserve"> That fact was key; had the employee accessed company computers without express permission, he would have violated the CFAA. “[I]f [the employee had] accessed LVRC’s information on the LOAD website after he left the company in September 2003, [the employee] would have accessed a protected computer ‘without authorization’ for purposes of the CFAA.” </w:t>
      </w:r>
      <w:hyperlink r:id="rId25" w:anchor="co_pp_sp_506_1136" w:history="1">
        <w:r w:rsidRPr="00DF6766">
          <w:rPr>
            <w:rFonts w:ascii="Verdana" w:hAnsi="Verdana" w:cs="Times New Roman"/>
            <w:i/>
            <w:iCs/>
            <w:color w:val="0000FF"/>
          </w:rPr>
          <w:t>Id.</w:t>
        </w:r>
        <w:r w:rsidRPr="00DF6766">
          <w:rPr>
            <w:rFonts w:ascii="Verdana" w:hAnsi="Verdana" w:cs="Times New Roman"/>
            <w:color w:val="0000FF"/>
          </w:rPr>
          <w:t xml:space="preserve"> at 1136</w:t>
        </w:r>
      </w:hyperlink>
      <w:r w:rsidRPr="00DF6766">
        <w:rPr>
          <w:rFonts w:ascii="Verdana" w:hAnsi="Verdana" w:cs="Times New Roman"/>
          <w:color w:val="000000"/>
        </w:rPr>
        <w:t>.</w:t>
      </w:r>
    </w:p>
    <w:p w14:paraId="1B7F213D" w14:textId="77777777" w:rsidR="006202D1" w:rsidRPr="00DF6766" w:rsidRDefault="00A853CC" w:rsidP="00DF6766">
      <w:pPr>
        <w:widowControl w:val="0"/>
        <w:autoSpaceDE w:val="0"/>
        <w:autoSpaceDN w:val="0"/>
        <w:adjustRightInd w:val="0"/>
        <w:spacing w:after="0" w:line="240" w:lineRule="auto"/>
        <w:jc w:val="both"/>
        <w:rPr>
          <w:rFonts w:ascii="Verdana" w:hAnsi="Verdana" w:cs="Times New Roman"/>
          <w:color w:val="000000"/>
        </w:rPr>
      </w:pPr>
      <w:r w:rsidRPr="00DF6766">
        <w:rPr>
          <w:rFonts w:ascii="Verdana" w:hAnsi="Verdana" w:cs="Times New Roman"/>
          <w:color w:val="000000"/>
        </w:rPr>
        <w:t> </w:t>
      </w:r>
    </w:p>
    <w:p w14:paraId="772AF35A" w14:textId="77777777" w:rsidR="006202D1" w:rsidRPr="00DF6766" w:rsidRDefault="00A853CC" w:rsidP="00DF6766">
      <w:pPr>
        <w:widowControl w:val="0"/>
        <w:autoSpaceDE w:val="0"/>
        <w:autoSpaceDN w:val="0"/>
        <w:adjustRightInd w:val="0"/>
        <w:spacing w:after="0" w:line="240" w:lineRule="auto"/>
        <w:jc w:val="both"/>
        <w:rPr>
          <w:rFonts w:ascii="Verdana" w:hAnsi="Verdana" w:cs="Times New Roman"/>
          <w:color w:val="000000"/>
        </w:rPr>
      </w:pPr>
      <w:r w:rsidRPr="00DF6766">
        <w:rPr>
          <w:rFonts w:ascii="Verdana" w:hAnsi="Verdana" w:cs="Times New Roman"/>
          <w:color w:val="000000"/>
        </w:rPr>
        <w:t xml:space="preserve">In </w:t>
      </w:r>
      <w:hyperlink r:id="rId26" w:history="1">
        <w:r w:rsidRPr="00DF6766">
          <w:rPr>
            <w:rFonts w:ascii="Verdana" w:hAnsi="Verdana" w:cs="Times New Roman"/>
            <w:i/>
            <w:iCs/>
            <w:color w:val="0000FF"/>
          </w:rPr>
          <w:t>United States v. Nosal</w:t>
        </w:r>
        <w:r w:rsidRPr="00DF6766">
          <w:rPr>
            <w:rFonts w:ascii="Verdana" w:hAnsi="Verdana" w:cs="Times New Roman"/>
            <w:color w:val="0000FF"/>
          </w:rPr>
          <w:t>, 676 F.3d 854 (9th Cir.2012)</w:t>
        </w:r>
      </w:hyperlink>
      <w:r w:rsidRPr="00DF6766">
        <w:rPr>
          <w:rFonts w:ascii="Verdana" w:hAnsi="Verdana" w:cs="Times New Roman"/>
          <w:color w:val="000000"/>
        </w:rPr>
        <w:t xml:space="preserve"> (en banc) (“</w:t>
      </w:r>
      <w:hyperlink r:id="rId27" w:history="1">
        <w:r w:rsidRPr="00DF6766">
          <w:rPr>
            <w:rFonts w:ascii="Verdana" w:hAnsi="Verdana" w:cs="Times New Roman"/>
            <w:i/>
            <w:iCs/>
            <w:color w:val="0000FF"/>
          </w:rPr>
          <w:t>Nosal I</w:t>
        </w:r>
      </w:hyperlink>
      <w:r w:rsidRPr="00DF6766">
        <w:rPr>
          <w:rFonts w:ascii="Verdana" w:hAnsi="Verdana" w:cs="Times New Roman"/>
          <w:color w:val="000000"/>
        </w:rPr>
        <w:t xml:space="preserve">”), an earlier case stemming from the same events that led to </w:t>
      </w:r>
      <w:hyperlink r:id="rId28" w:history="1">
        <w:r w:rsidRPr="00DF6766">
          <w:rPr>
            <w:rFonts w:ascii="Verdana" w:hAnsi="Verdana" w:cs="Times New Roman"/>
            <w:i/>
            <w:iCs/>
            <w:color w:val="0000FF"/>
          </w:rPr>
          <w:t>Nosal II</w:t>
        </w:r>
      </w:hyperlink>
      <w:r w:rsidRPr="00DF6766">
        <w:rPr>
          <w:rFonts w:ascii="Verdana" w:hAnsi="Verdana" w:cs="Times New Roman"/>
          <w:color w:val="000000"/>
        </w:rPr>
        <w:t xml:space="preserve">, we considered whether a group of employees who logged on to a work computer, downloaded information from a confidential database, and transferred it to a competing business “exceed[ed] authorized access.” </w:t>
      </w:r>
      <w:hyperlink r:id="rId29" w:anchor="co_pp_sp_506_856" w:history="1">
        <w:r w:rsidRPr="00DF6766">
          <w:rPr>
            <w:rFonts w:ascii="Verdana" w:hAnsi="Verdana" w:cs="Times New Roman"/>
            <w:i/>
            <w:iCs/>
            <w:color w:val="0000FF"/>
          </w:rPr>
          <w:t>Id.</w:t>
        </w:r>
        <w:r w:rsidRPr="00DF6766">
          <w:rPr>
            <w:rFonts w:ascii="Verdana" w:hAnsi="Verdana" w:cs="Times New Roman"/>
            <w:color w:val="0000FF"/>
          </w:rPr>
          <w:t xml:space="preserve"> at 856</w:t>
        </w:r>
      </w:hyperlink>
      <w:r w:rsidRPr="00DF6766">
        <w:rPr>
          <w:rFonts w:ascii="Verdana" w:hAnsi="Verdana" w:cs="Times New Roman"/>
          <w:color w:val="000000"/>
        </w:rPr>
        <w:t xml:space="preserve">. Wary of creating a sweeping Internet-policy mandate, we applied the rule of lenity to the CFAA and reversed liability for the defendant. </w:t>
      </w:r>
      <w:hyperlink r:id="rId30" w:anchor="co_pp_sp_506_863" w:history="1">
        <w:r w:rsidRPr="00DF6766">
          <w:rPr>
            <w:rFonts w:ascii="Verdana" w:hAnsi="Verdana" w:cs="Times New Roman"/>
            <w:i/>
            <w:iCs/>
            <w:color w:val="0000FF"/>
          </w:rPr>
          <w:t>Id.</w:t>
        </w:r>
        <w:r w:rsidRPr="00DF6766">
          <w:rPr>
            <w:rFonts w:ascii="Verdana" w:hAnsi="Verdana" w:cs="Times New Roman"/>
            <w:color w:val="0000FF"/>
          </w:rPr>
          <w:t xml:space="preserve"> at 863</w:t>
        </w:r>
      </w:hyperlink>
      <w:r w:rsidRPr="00DF6766">
        <w:rPr>
          <w:rFonts w:ascii="Verdana" w:hAnsi="Verdana" w:cs="Times New Roman"/>
          <w:color w:val="000000"/>
        </w:rPr>
        <w:t xml:space="preserve">. The decision broadly described the application of the CFAA to websites’ terms of service. “Not only are the terms of service vague and generally unknown ... but website owners retain the right to change the terms at any time and without notice.” </w:t>
      </w:r>
      <w:hyperlink r:id="rId31" w:anchor="co_pp_sp_506_862" w:history="1">
        <w:r w:rsidRPr="00DF6766">
          <w:rPr>
            <w:rFonts w:ascii="Verdana" w:hAnsi="Verdana" w:cs="Times New Roman"/>
            <w:i/>
            <w:iCs/>
            <w:color w:val="0000FF"/>
          </w:rPr>
          <w:t>Id.</w:t>
        </w:r>
        <w:r w:rsidRPr="00DF6766">
          <w:rPr>
            <w:rFonts w:ascii="Verdana" w:hAnsi="Verdana" w:cs="Times New Roman"/>
            <w:color w:val="0000FF"/>
          </w:rPr>
          <w:t xml:space="preserve"> at 862</w:t>
        </w:r>
      </w:hyperlink>
      <w:r w:rsidRPr="00DF6766">
        <w:rPr>
          <w:rFonts w:ascii="Verdana" w:hAnsi="Verdana" w:cs="Times New Roman"/>
          <w:color w:val="000000"/>
        </w:rPr>
        <w:t xml:space="preserve">. As a result, imposing criminal liability for violations of the terms of use of a website could criminalize many daily activities. Accordingly, “the phrase ‘exceeds authorized access’ in the CFAA does not extend to violations of use restrictions. If Congress wants to incorporate misappropriation liability into the CFAA, it must speak more clearly.” </w:t>
      </w:r>
      <w:hyperlink r:id="rId32" w:anchor="co_pp_sp_506_863" w:history="1">
        <w:r w:rsidRPr="00DF6766">
          <w:rPr>
            <w:rFonts w:ascii="Verdana" w:hAnsi="Verdana" w:cs="Times New Roman"/>
            <w:i/>
            <w:iCs/>
            <w:color w:val="0000FF"/>
          </w:rPr>
          <w:t>Id.</w:t>
        </w:r>
        <w:r w:rsidRPr="00DF6766">
          <w:rPr>
            <w:rFonts w:ascii="Verdana" w:hAnsi="Verdana" w:cs="Times New Roman"/>
            <w:color w:val="0000FF"/>
          </w:rPr>
          <w:t xml:space="preserve"> at 863</w:t>
        </w:r>
      </w:hyperlink>
      <w:r w:rsidRPr="00DF6766">
        <w:rPr>
          <w:rFonts w:ascii="Verdana" w:hAnsi="Verdana" w:cs="Times New Roman"/>
          <w:color w:val="000000"/>
        </w:rPr>
        <w:t>.</w:t>
      </w:r>
    </w:p>
    <w:p w14:paraId="45C6CDDD" w14:textId="77777777" w:rsidR="006202D1" w:rsidRPr="00DF6766" w:rsidRDefault="00A853CC" w:rsidP="00DF6766">
      <w:pPr>
        <w:widowControl w:val="0"/>
        <w:autoSpaceDE w:val="0"/>
        <w:autoSpaceDN w:val="0"/>
        <w:adjustRightInd w:val="0"/>
        <w:spacing w:after="0" w:line="240" w:lineRule="auto"/>
        <w:jc w:val="both"/>
        <w:rPr>
          <w:rFonts w:ascii="Verdana" w:hAnsi="Verdana" w:cs="Times New Roman"/>
          <w:color w:val="000000"/>
        </w:rPr>
      </w:pPr>
      <w:r w:rsidRPr="00DF6766">
        <w:rPr>
          <w:rFonts w:ascii="Verdana" w:hAnsi="Verdana" w:cs="Times New Roman"/>
          <w:color w:val="000000"/>
        </w:rPr>
        <w:t> </w:t>
      </w:r>
    </w:p>
    <w:p w14:paraId="76D46F06" w14:textId="77777777" w:rsidR="006202D1" w:rsidRPr="00DF6766" w:rsidRDefault="00A853CC" w:rsidP="00DF6766">
      <w:pPr>
        <w:widowControl w:val="0"/>
        <w:autoSpaceDE w:val="0"/>
        <w:autoSpaceDN w:val="0"/>
        <w:adjustRightInd w:val="0"/>
        <w:spacing w:after="0" w:line="240" w:lineRule="auto"/>
        <w:jc w:val="both"/>
        <w:rPr>
          <w:rFonts w:ascii="Verdana" w:hAnsi="Verdana" w:cs="Times New Roman"/>
          <w:color w:val="000000"/>
        </w:rPr>
      </w:pPr>
      <w:bookmarkStart w:id="9" w:name="co_anchor_B72039356248_1"/>
      <w:bookmarkStart w:id="10" w:name="co_anchor_B82039356248_1"/>
      <w:bookmarkEnd w:id="9"/>
      <w:bookmarkEnd w:id="10"/>
      <w:r w:rsidRPr="00DF6766">
        <w:rPr>
          <w:rFonts w:ascii="Verdana" w:hAnsi="Verdana" w:cs="Times New Roman"/>
          <w:color w:val="000000"/>
        </w:rPr>
        <w:t>From those cases, we distill two general rules in analyzing authorization under the CFAA. First, a defendant can run afoul of the CFAA when he or she has no permission to access a computer or when such permission has been revoked explicitly. Once permission has been revoked, technological gamesmanship or the enlisting of a third party to aid in access will not excuse liability. Second, a violation of the terms of use of a website—without more—cannot be the basis for liability under the CFAA.</w:t>
      </w:r>
    </w:p>
    <w:p w14:paraId="4EB42DEB" w14:textId="77777777" w:rsidR="006202D1" w:rsidRPr="00DF6766" w:rsidRDefault="00A853CC" w:rsidP="00DF6766">
      <w:pPr>
        <w:widowControl w:val="0"/>
        <w:autoSpaceDE w:val="0"/>
        <w:autoSpaceDN w:val="0"/>
        <w:adjustRightInd w:val="0"/>
        <w:spacing w:after="0" w:line="240" w:lineRule="auto"/>
        <w:jc w:val="both"/>
        <w:rPr>
          <w:rFonts w:ascii="Verdana" w:hAnsi="Verdana" w:cs="Times New Roman"/>
          <w:color w:val="000000"/>
        </w:rPr>
      </w:pPr>
      <w:r w:rsidRPr="00DF6766">
        <w:rPr>
          <w:rFonts w:ascii="Verdana" w:hAnsi="Verdana" w:cs="Times New Roman"/>
          <w:color w:val="000000"/>
        </w:rPr>
        <w:t> </w:t>
      </w:r>
    </w:p>
    <w:p w14:paraId="71526A35" w14:textId="77777777" w:rsidR="006202D1" w:rsidRPr="00DF6766" w:rsidRDefault="00A853CC" w:rsidP="00DF6766">
      <w:pPr>
        <w:widowControl w:val="0"/>
        <w:autoSpaceDE w:val="0"/>
        <w:autoSpaceDN w:val="0"/>
        <w:adjustRightInd w:val="0"/>
        <w:spacing w:after="0" w:line="240" w:lineRule="auto"/>
        <w:jc w:val="both"/>
        <w:rPr>
          <w:rFonts w:ascii="Verdana" w:hAnsi="Verdana" w:cs="Times New Roman"/>
          <w:color w:val="000000"/>
        </w:rPr>
      </w:pPr>
      <w:bookmarkStart w:id="11" w:name="co_anchor_B92039356248_1"/>
      <w:bookmarkEnd w:id="11"/>
      <w:r w:rsidRPr="00DF6766">
        <w:rPr>
          <w:rFonts w:ascii="Verdana" w:hAnsi="Verdana" w:cs="Times New Roman"/>
          <w:color w:val="000000"/>
        </w:rPr>
        <w:t xml:space="preserve">Here, initially, Power users arguably gave Power permission to use Facebook’s computers to disseminate messages. Power reasonably could have thought that consent from </w:t>
      </w:r>
      <w:r w:rsidRPr="00DF6766">
        <w:rPr>
          <w:rFonts w:ascii="Verdana" w:hAnsi="Verdana" w:cs="Times New Roman"/>
          <w:i/>
          <w:iCs/>
          <w:color w:val="000000"/>
        </w:rPr>
        <w:t>Facebook users</w:t>
      </w:r>
      <w:r w:rsidRPr="00DF6766">
        <w:rPr>
          <w:rFonts w:ascii="Verdana" w:hAnsi="Verdana" w:cs="Times New Roman"/>
          <w:color w:val="000000"/>
        </w:rPr>
        <w:t xml:space="preserve"> to share the promotion was permission for Power to access </w:t>
      </w:r>
      <w:r w:rsidRPr="00DF6766">
        <w:rPr>
          <w:rFonts w:ascii="Verdana" w:hAnsi="Verdana" w:cs="Times New Roman"/>
          <w:i/>
          <w:iCs/>
          <w:color w:val="000000"/>
        </w:rPr>
        <w:t>Facebook’s</w:t>
      </w:r>
      <w:r w:rsidRPr="00DF6766">
        <w:rPr>
          <w:rFonts w:ascii="Verdana" w:hAnsi="Verdana" w:cs="Times New Roman"/>
          <w:color w:val="000000"/>
        </w:rPr>
        <w:t xml:space="preserve"> computers.</w:t>
      </w:r>
      <w:bookmarkStart w:id="12" w:name="co_footnoteReference_B00022039356248_ID0"/>
      <w:bookmarkEnd w:id="12"/>
      <w:r w:rsidRPr="00DF6766">
        <w:rPr>
          <w:rFonts w:ascii="Verdana" w:hAnsi="Verdana" w:cs="Times New Roman"/>
          <w:color w:val="000000"/>
        </w:rPr>
        <w:fldChar w:fldCharType="begin"/>
      </w:r>
      <w:r w:rsidRPr="00DF6766">
        <w:rPr>
          <w:rFonts w:ascii="Verdana" w:hAnsi="Verdana" w:cs="Times New Roman"/>
          <w:color w:val="000000"/>
        </w:rPr>
        <w:instrText xml:space="preserve">HYPERLINK "#co_footnote_B00022039356248_1" </w:instrText>
      </w:r>
      <w:r w:rsidRPr="00DF6766">
        <w:rPr>
          <w:rFonts w:ascii="Verdana" w:hAnsi="Verdana" w:cs="Times New Roman"/>
          <w:color w:val="000000"/>
        </w:rPr>
      </w:r>
      <w:r w:rsidRPr="00DF6766">
        <w:rPr>
          <w:rFonts w:ascii="Verdana" w:hAnsi="Verdana" w:cs="Times New Roman"/>
          <w:color w:val="000000"/>
        </w:rPr>
        <w:fldChar w:fldCharType="separate"/>
      </w:r>
      <w:r w:rsidRPr="00DF6766">
        <w:rPr>
          <w:rFonts w:ascii="Verdana" w:hAnsi="Verdana" w:cs="Times New Roman"/>
          <w:color w:val="0000FF"/>
          <w:vertAlign w:val="superscript"/>
        </w:rPr>
        <w:t>1</w:t>
      </w:r>
      <w:r w:rsidRPr="00DF6766">
        <w:rPr>
          <w:rFonts w:ascii="Verdana" w:hAnsi="Verdana" w:cs="Times New Roman"/>
          <w:color w:val="000000"/>
        </w:rPr>
        <w:fldChar w:fldCharType="end"/>
      </w:r>
      <w:r w:rsidRPr="00DF6766">
        <w:rPr>
          <w:rFonts w:ascii="Verdana" w:hAnsi="Verdana" w:cs="Times New Roman"/>
          <w:color w:val="000000"/>
        </w:rPr>
        <w:t xml:space="preserve"> In clicking the “Yes, I do!” button, Power users took action akin to allowing a friend to use a computer or to log on to an e-mail account. Because Power had at least arguable permission to access Facebook’s computers, it did not initially access Facebook’s computers “without authorization” within the meaning of the CFAA.</w:t>
      </w:r>
    </w:p>
    <w:p w14:paraId="01C16B4B" w14:textId="77777777" w:rsidR="006202D1" w:rsidRPr="00DF6766" w:rsidRDefault="00A853CC" w:rsidP="00DF6766">
      <w:pPr>
        <w:widowControl w:val="0"/>
        <w:autoSpaceDE w:val="0"/>
        <w:autoSpaceDN w:val="0"/>
        <w:adjustRightInd w:val="0"/>
        <w:spacing w:after="0" w:line="240" w:lineRule="auto"/>
        <w:jc w:val="both"/>
        <w:rPr>
          <w:rFonts w:ascii="Verdana" w:hAnsi="Verdana" w:cs="Times New Roman"/>
          <w:color w:val="000000"/>
        </w:rPr>
      </w:pPr>
      <w:r w:rsidRPr="00DF6766">
        <w:rPr>
          <w:rFonts w:ascii="Verdana" w:hAnsi="Verdana" w:cs="Times New Roman"/>
          <w:color w:val="000000"/>
        </w:rPr>
        <w:t> </w:t>
      </w:r>
    </w:p>
    <w:p w14:paraId="743DCF6B" w14:textId="77777777" w:rsidR="006202D1" w:rsidRPr="00DF6766" w:rsidRDefault="00A853CC" w:rsidP="00DF6766">
      <w:pPr>
        <w:widowControl w:val="0"/>
        <w:autoSpaceDE w:val="0"/>
        <w:autoSpaceDN w:val="0"/>
        <w:adjustRightInd w:val="0"/>
        <w:spacing w:after="0" w:line="240" w:lineRule="auto"/>
        <w:jc w:val="both"/>
        <w:rPr>
          <w:rFonts w:ascii="Verdana" w:hAnsi="Verdana" w:cs="Times New Roman"/>
          <w:color w:val="000000"/>
        </w:rPr>
      </w:pPr>
      <w:bookmarkStart w:id="13" w:name="co_pp_sp_999_7_1"/>
      <w:bookmarkEnd w:id="13"/>
      <w:r w:rsidRPr="00DF6766">
        <w:rPr>
          <w:rFonts w:ascii="Verdana" w:hAnsi="Verdana" w:cs="Times New Roman"/>
          <w:color w:val="000000"/>
        </w:rPr>
        <w:t xml:space="preserve">But Facebook expressly rescinded that permission when Facebook issued its written cease and desist letter to Power on December 1, 2008. Facebook’s cease and desist letter informed Power that it had violated Facebook’s terms of use and demanded that Power stop soliciting Facebook users’ information, using Facebook content, or otherwise interacting with </w:t>
      </w:r>
      <w:r w:rsidRPr="00DF6766">
        <w:rPr>
          <w:rFonts w:ascii="Verdana" w:hAnsi="Verdana" w:cs="Times New Roman"/>
          <w:color w:val="000000"/>
        </w:rPr>
        <w:lastRenderedPageBreak/>
        <w:t>Facebook through automated scripts.</w:t>
      </w:r>
      <w:bookmarkStart w:id="14" w:name="co_footnoteReference_B00032039356248_ID0"/>
      <w:bookmarkEnd w:id="14"/>
      <w:r w:rsidRPr="00DF6766">
        <w:rPr>
          <w:rFonts w:ascii="Verdana" w:hAnsi="Verdana" w:cs="Times New Roman"/>
          <w:color w:val="000000"/>
        </w:rPr>
        <w:fldChar w:fldCharType="begin"/>
      </w:r>
      <w:r w:rsidRPr="00DF6766">
        <w:rPr>
          <w:rFonts w:ascii="Verdana" w:hAnsi="Verdana" w:cs="Times New Roman"/>
          <w:color w:val="000000"/>
        </w:rPr>
        <w:instrText xml:space="preserve">HYPERLINK "#co_footnote_B00032039356248_1" </w:instrText>
      </w:r>
      <w:r w:rsidRPr="00DF6766">
        <w:rPr>
          <w:rFonts w:ascii="Verdana" w:hAnsi="Verdana" w:cs="Times New Roman"/>
          <w:color w:val="000000"/>
        </w:rPr>
      </w:r>
      <w:r w:rsidRPr="00DF6766">
        <w:rPr>
          <w:rFonts w:ascii="Verdana" w:hAnsi="Verdana" w:cs="Times New Roman"/>
          <w:color w:val="000000"/>
        </w:rPr>
        <w:fldChar w:fldCharType="separate"/>
      </w:r>
      <w:r w:rsidRPr="00DF6766">
        <w:rPr>
          <w:rFonts w:ascii="Verdana" w:hAnsi="Verdana" w:cs="Times New Roman"/>
          <w:color w:val="0000FF"/>
          <w:vertAlign w:val="superscript"/>
        </w:rPr>
        <w:t>2</w:t>
      </w:r>
      <w:r w:rsidRPr="00DF6766">
        <w:rPr>
          <w:rFonts w:ascii="Verdana" w:hAnsi="Verdana" w:cs="Times New Roman"/>
          <w:color w:val="000000"/>
        </w:rPr>
        <w:fldChar w:fldCharType="end"/>
      </w:r>
      <w:r w:rsidRPr="00DF6766">
        <w:rPr>
          <w:rFonts w:ascii="Verdana" w:hAnsi="Verdana" w:cs="Times New Roman"/>
          <w:color w:val="000000"/>
        </w:rPr>
        <w:t xml:space="preserve"> Facebook then imposed IP blocks in an effort to prevent Power’s continued access.</w:t>
      </w:r>
    </w:p>
    <w:p w14:paraId="024B3E67" w14:textId="77777777" w:rsidR="006202D1" w:rsidRPr="00DF6766" w:rsidRDefault="00A853CC" w:rsidP="00DF6766">
      <w:pPr>
        <w:widowControl w:val="0"/>
        <w:autoSpaceDE w:val="0"/>
        <w:autoSpaceDN w:val="0"/>
        <w:adjustRightInd w:val="0"/>
        <w:spacing w:after="0" w:line="240" w:lineRule="auto"/>
        <w:jc w:val="both"/>
        <w:rPr>
          <w:rFonts w:ascii="Verdana" w:hAnsi="Verdana" w:cs="Times New Roman"/>
          <w:color w:val="000000"/>
        </w:rPr>
      </w:pPr>
      <w:r w:rsidRPr="00DF6766">
        <w:rPr>
          <w:rFonts w:ascii="Verdana" w:hAnsi="Verdana" w:cs="Times New Roman"/>
          <w:color w:val="000000"/>
        </w:rPr>
        <w:t> </w:t>
      </w:r>
    </w:p>
    <w:p w14:paraId="1BA5A9A5" w14:textId="77777777" w:rsidR="006202D1" w:rsidRPr="00DF6766" w:rsidRDefault="00A853CC" w:rsidP="00DF6766">
      <w:pPr>
        <w:widowControl w:val="0"/>
        <w:autoSpaceDE w:val="0"/>
        <w:autoSpaceDN w:val="0"/>
        <w:adjustRightInd w:val="0"/>
        <w:spacing w:after="0" w:line="240" w:lineRule="auto"/>
        <w:jc w:val="both"/>
        <w:rPr>
          <w:rFonts w:ascii="Verdana" w:hAnsi="Verdana" w:cs="Times New Roman"/>
          <w:color w:val="000000"/>
        </w:rPr>
      </w:pPr>
      <w:r w:rsidRPr="00DF6766">
        <w:rPr>
          <w:rFonts w:ascii="Verdana" w:hAnsi="Verdana" w:cs="Times New Roman"/>
          <w:color w:val="000000"/>
        </w:rPr>
        <w:t xml:space="preserve">The record shows unequivocally that Power knew that it no longer had authorization to access Facebook’s computers, but continued to do so anyway. In requests for admission propounded during the course of this litigation, Power admitted that, after receiving notice that its use of or access to Facebook was forbidden by Facebook, it “took, copied, or made use of data from the Facebook website </w:t>
      </w:r>
      <w:r w:rsidRPr="00DF6766">
        <w:rPr>
          <w:rFonts w:ascii="Verdana" w:hAnsi="Verdana" w:cs="Times New Roman"/>
          <w:i/>
          <w:iCs/>
          <w:color w:val="000000"/>
        </w:rPr>
        <w:t>without Facebook’s permission</w:t>
      </w:r>
      <w:r w:rsidRPr="00DF6766">
        <w:rPr>
          <w:rFonts w:ascii="Verdana" w:hAnsi="Verdana" w:cs="Times New Roman"/>
          <w:color w:val="000000"/>
        </w:rPr>
        <w:t xml:space="preserve"> to do so.” (Emphasis added; capitalization omitted.) Contemporaneously, too, soon after receiving the cease and desist letter, Power’s CEO sent an e-mail stating: “[W]e need to be prepared for Facebook to try to block us and the [sic] turn this into a national battle that gets us huge attention.” On December 4, 2008, a Power executive sent an e-mail agreeing that Power engaged in four “prohibited activities”</w:t>
      </w:r>
      <w:bookmarkStart w:id="15" w:name="co_footnoteReference_B00042039356248_ID0"/>
      <w:bookmarkEnd w:id="15"/>
      <w:r w:rsidRPr="00DF6766">
        <w:rPr>
          <w:rFonts w:ascii="Verdana" w:hAnsi="Verdana" w:cs="Times New Roman"/>
          <w:color w:val="000000"/>
        </w:rPr>
        <w:fldChar w:fldCharType="begin"/>
      </w:r>
      <w:r w:rsidRPr="00DF6766">
        <w:rPr>
          <w:rFonts w:ascii="Verdana" w:hAnsi="Verdana" w:cs="Times New Roman"/>
          <w:color w:val="000000"/>
        </w:rPr>
        <w:instrText xml:space="preserve">HYPERLINK "#co_footnote_B00042039356248_1" </w:instrText>
      </w:r>
      <w:r w:rsidRPr="00DF6766">
        <w:rPr>
          <w:rFonts w:ascii="Verdana" w:hAnsi="Verdana" w:cs="Times New Roman"/>
          <w:color w:val="000000"/>
        </w:rPr>
      </w:r>
      <w:r w:rsidRPr="00DF6766">
        <w:rPr>
          <w:rFonts w:ascii="Verdana" w:hAnsi="Verdana" w:cs="Times New Roman"/>
          <w:color w:val="000000"/>
        </w:rPr>
        <w:fldChar w:fldCharType="separate"/>
      </w:r>
      <w:r w:rsidRPr="00DF6766">
        <w:rPr>
          <w:rFonts w:ascii="Verdana" w:hAnsi="Verdana" w:cs="Times New Roman"/>
          <w:color w:val="0000FF"/>
          <w:vertAlign w:val="superscript"/>
        </w:rPr>
        <w:t>3</w:t>
      </w:r>
      <w:r w:rsidRPr="00DF6766">
        <w:rPr>
          <w:rFonts w:ascii="Verdana" w:hAnsi="Verdana" w:cs="Times New Roman"/>
          <w:color w:val="000000"/>
        </w:rPr>
        <w:fldChar w:fldCharType="end"/>
      </w:r>
      <w:r w:rsidRPr="00DF6766">
        <w:rPr>
          <w:rFonts w:ascii="Verdana" w:hAnsi="Verdana" w:cs="Times New Roman"/>
          <w:color w:val="000000"/>
        </w:rPr>
        <w:t>; acknowledging that Power may have “intentionally and without authorization interfered with [Facebook’s] possessory interest in the computer system,” while arguing that the “</w:t>
      </w:r>
      <w:r w:rsidRPr="00DF6766">
        <w:rPr>
          <w:rFonts w:ascii="Verdana" w:hAnsi="Verdana" w:cs="Times New Roman"/>
          <w:b/>
          <w:bCs/>
          <w:i/>
          <w:iCs/>
          <w:color w:val="000000"/>
        </w:rPr>
        <w:t>unauthorized use</w:t>
      </w:r>
      <w:r w:rsidRPr="00DF6766">
        <w:rPr>
          <w:rFonts w:ascii="Verdana" w:hAnsi="Verdana" w:cs="Times New Roman"/>
          <w:color w:val="000000"/>
        </w:rPr>
        <w:t>” did not cause damage to Facebook; and noting additional federal and state statutes that Power “may also be accused of violating,” beyond those listed in Facebook’s cease and desist letter. E-mails sent later in December 2008 discussed the IP blocks that Facebook had imposed and the measures that Power took to evade them. Nevertheless, Power continued to access Facebook’s data and computers without Facebook’s permission.</w:t>
      </w:r>
    </w:p>
    <w:p w14:paraId="3D69E993" w14:textId="77777777" w:rsidR="006202D1" w:rsidRPr="00DF6766" w:rsidRDefault="00A853CC" w:rsidP="00DF6766">
      <w:pPr>
        <w:widowControl w:val="0"/>
        <w:autoSpaceDE w:val="0"/>
        <w:autoSpaceDN w:val="0"/>
        <w:adjustRightInd w:val="0"/>
        <w:spacing w:after="0" w:line="240" w:lineRule="auto"/>
        <w:jc w:val="both"/>
        <w:rPr>
          <w:rFonts w:ascii="Verdana" w:hAnsi="Verdana" w:cs="Times New Roman"/>
          <w:color w:val="000000"/>
        </w:rPr>
      </w:pPr>
      <w:r w:rsidRPr="00DF6766">
        <w:rPr>
          <w:rFonts w:ascii="Verdana" w:hAnsi="Verdana" w:cs="Times New Roman"/>
          <w:color w:val="000000"/>
        </w:rPr>
        <w:t> </w:t>
      </w:r>
    </w:p>
    <w:p w14:paraId="23327396" w14:textId="77777777" w:rsidR="006202D1" w:rsidRPr="00DF6766" w:rsidRDefault="00A853CC" w:rsidP="00DF6766">
      <w:pPr>
        <w:widowControl w:val="0"/>
        <w:autoSpaceDE w:val="0"/>
        <w:autoSpaceDN w:val="0"/>
        <w:adjustRightInd w:val="0"/>
        <w:spacing w:after="0" w:line="240" w:lineRule="auto"/>
        <w:jc w:val="both"/>
        <w:rPr>
          <w:rFonts w:ascii="Verdana" w:hAnsi="Verdana" w:cs="Times New Roman"/>
          <w:color w:val="000000"/>
        </w:rPr>
      </w:pPr>
      <w:r w:rsidRPr="00DF6766">
        <w:rPr>
          <w:rFonts w:ascii="Verdana" w:hAnsi="Verdana" w:cs="Times New Roman"/>
          <w:color w:val="000000"/>
        </w:rPr>
        <w:t xml:space="preserve">The consent that Power had received from Facebook users was not sufficient to grant continuing authorization to access Facebook’s computers after Facebook’s express revocation of permission. An analogy from the physical world may help to illustrate why this is so. Suppose that a person wants to borrow a friend’s jewelry that is held in a safe deposit box at a bank. The friend gives permission for the person to access the safe deposit box and lends him a key. Upon receiving the key, though, the person decides to visit the bank while carrying a shotgun. The bank ejects the person from its premises and bans his reentry. The gun-toting jewelry borrower could not then reenter the bank, claiming that access to the safe deposit box gave him authority to stride about the bank’s property while armed. In other words, to access the safe deposit box, the person needs permission </w:t>
      </w:r>
      <w:r w:rsidRPr="00DF6766">
        <w:rPr>
          <w:rFonts w:ascii="Verdana" w:hAnsi="Verdana" w:cs="Times New Roman"/>
          <w:i/>
          <w:iCs/>
          <w:color w:val="000000"/>
        </w:rPr>
        <w:t>both</w:t>
      </w:r>
      <w:r w:rsidRPr="00DF6766">
        <w:rPr>
          <w:rFonts w:ascii="Verdana" w:hAnsi="Verdana" w:cs="Times New Roman"/>
          <w:color w:val="000000"/>
        </w:rPr>
        <w:t xml:space="preserve"> from his friend (who controls access to the safe) </w:t>
      </w:r>
      <w:r w:rsidRPr="00DF6766">
        <w:rPr>
          <w:rFonts w:ascii="Verdana" w:hAnsi="Verdana" w:cs="Times New Roman"/>
          <w:i/>
          <w:iCs/>
          <w:color w:val="000000"/>
        </w:rPr>
        <w:t>and</w:t>
      </w:r>
      <w:r w:rsidRPr="00DF6766">
        <w:rPr>
          <w:rFonts w:ascii="Verdana" w:hAnsi="Verdana" w:cs="Times New Roman"/>
          <w:color w:val="000000"/>
        </w:rPr>
        <w:t xml:space="preserve"> from the bank (which controls access to its premises). Similarly, for Power to continue its campaign using Facebook’s computers, it needed authorization both from individual Facebook users (who controlled their data and personal pages) and from Facebook (which stored this data on its physical servers). Permission from the users alone was not sufficient to constitute authorization after Facebook issued the cease and desist letter.</w:t>
      </w:r>
    </w:p>
    <w:p w14:paraId="61890A65" w14:textId="77777777" w:rsidR="006202D1" w:rsidRPr="00DF6766" w:rsidRDefault="00A853CC" w:rsidP="00DF6766">
      <w:pPr>
        <w:widowControl w:val="0"/>
        <w:autoSpaceDE w:val="0"/>
        <w:autoSpaceDN w:val="0"/>
        <w:adjustRightInd w:val="0"/>
        <w:spacing w:after="0" w:line="240" w:lineRule="auto"/>
        <w:jc w:val="both"/>
        <w:rPr>
          <w:rFonts w:ascii="Verdana" w:hAnsi="Verdana" w:cs="Times New Roman"/>
          <w:color w:val="000000"/>
        </w:rPr>
      </w:pPr>
      <w:r w:rsidRPr="00DF6766">
        <w:rPr>
          <w:rFonts w:ascii="Verdana" w:hAnsi="Verdana" w:cs="Times New Roman"/>
          <w:color w:val="000000"/>
        </w:rPr>
        <w:t> </w:t>
      </w:r>
    </w:p>
    <w:p w14:paraId="6160BAC7" w14:textId="77777777" w:rsidR="006202D1" w:rsidRPr="00DF6766" w:rsidRDefault="00A853CC" w:rsidP="00DF6766">
      <w:pPr>
        <w:widowControl w:val="0"/>
        <w:autoSpaceDE w:val="0"/>
        <w:autoSpaceDN w:val="0"/>
        <w:adjustRightInd w:val="0"/>
        <w:spacing w:after="0" w:line="240" w:lineRule="auto"/>
        <w:jc w:val="both"/>
        <w:rPr>
          <w:rFonts w:ascii="Verdana" w:hAnsi="Verdana" w:cs="Times New Roman"/>
          <w:color w:val="000000"/>
        </w:rPr>
      </w:pPr>
      <w:bookmarkStart w:id="16" w:name="co_pp_sp_999_8_1"/>
      <w:bookmarkEnd w:id="16"/>
      <w:r w:rsidRPr="00DF6766">
        <w:rPr>
          <w:rFonts w:ascii="Verdana" w:hAnsi="Verdana" w:cs="Times New Roman"/>
          <w:color w:val="000000"/>
        </w:rPr>
        <w:t>In sum, as it admitted, Power deliberately disregarded the cease and desist letter and accessed Facebook’s computers without authorization to do so. It circumvented IP barriers that further demonstrated that Facebook had rescinded permission for Power to access Facebook’s computers.</w:t>
      </w:r>
      <w:bookmarkStart w:id="17" w:name="co_footnoteReference_B00052039356248_ID0"/>
      <w:bookmarkEnd w:id="17"/>
      <w:r w:rsidRPr="00DF6766">
        <w:rPr>
          <w:rFonts w:ascii="Verdana" w:hAnsi="Verdana" w:cs="Times New Roman"/>
          <w:color w:val="000000"/>
        </w:rPr>
        <w:fldChar w:fldCharType="begin"/>
      </w:r>
      <w:r w:rsidRPr="00DF6766">
        <w:rPr>
          <w:rFonts w:ascii="Verdana" w:hAnsi="Verdana" w:cs="Times New Roman"/>
          <w:color w:val="000000"/>
        </w:rPr>
        <w:instrText xml:space="preserve">HYPERLINK "#co_footnote_B00052039356248_1" </w:instrText>
      </w:r>
      <w:r w:rsidRPr="00DF6766">
        <w:rPr>
          <w:rFonts w:ascii="Verdana" w:hAnsi="Verdana" w:cs="Times New Roman"/>
          <w:color w:val="000000"/>
        </w:rPr>
      </w:r>
      <w:r w:rsidRPr="00DF6766">
        <w:rPr>
          <w:rFonts w:ascii="Verdana" w:hAnsi="Verdana" w:cs="Times New Roman"/>
          <w:color w:val="000000"/>
        </w:rPr>
        <w:fldChar w:fldCharType="separate"/>
      </w:r>
      <w:r w:rsidRPr="00DF6766">
        <w:rPr>
          <w:rFonts w:ascii="Verdana" w:hAnsi="Verdana" w:cs="Times New Roman"/>
          <w:color w:val="0000FF"/>
          <w:vertAlign w:val="superscript"/>
        </w:rPr>
        <w:t>4</w:t>
      </w:r>
      <w:r w:rsidRPr="00DF6766">
        <w:rPr>
          <w:rFonts w:ascii="Verdana" w:hAnsi="Verdana" w:cs="Times New Roman"/>
          <w:color w:val="000000"/>
        </w:rPr>
        <w:fldChar w:fldCharType="end"/>
      </w:r>
      <w:r w:rsidRPr="00DF6766">
        <w:rPr>
          <w:rFonts w:ascii="Verdana" w:hAnsi="Verdana" w:cs="Times New Roman"/>
          <w:color w:val="000000"/>
        </w:rPr>
        <w:t xml:space="preserve"> We therefore hold that, after receiving written notification from Facebook on December 1, 2008, Power accessed Facebook’s computers “without authorization” within the meaning of the CFAA and is liable under that statute.</w:t>
      </w:r>
    </w:p>
    <w:p w14:paraId="56EA4852" w14:textId="77777777" w:rsidR="006202D1" w:rsidRPr="00DF6766" w:rsidRDefault="00A853CC" w:rsidP="00DF6766">
      <w:pPr>
        <w:widowControl w:val="0"/>
        <w:autoSpaceDE w:val="0"/>
        <w:autoSpaceDN w:val="0"/>
        <w:adjustRightInd w:val="0"/>
        <w:spacing w:after="0" w:line="240" w:lineRule="auto"/>
        <w:jc w:val="both"/>
        <w:rPr>
          <w:rFonts w:ascii="Verdana" w:hAnsi="Verdana" w:cs="Times New Roman"/>
          <w:color w:val="000000"/>
        </w:rPr>
      </w:pPr>
      <w:r w:rsidRPr="00DF6766">
        <w:rPr>
          <w:rFonts w:ascii="Verdana" w:hAnsi="Verdana" w:cs="Times New Roman"/>
          <w:color w:val="000000"/>
        </w:rPr>
        <w:t> </w:t>
      </w:r>
    </w:p>
    <w:p w14:paraId="74E55E6F" w14:textId="77777777" w:rsidR="006202D1" w:rsidRPr="00DF6766" w:rsidRDefault="00000000" w:rsidP="00DF6766">
      <w:pPr>
        <w:widowControl w:val="0"/>
        <w:autoSpaceDE w:val="0"/>
        <w:autoSpaceDN w:val="0"/>
        <w:adjustRightInd w:val="0"/>
        <w:spacing w:after="0" w:line="240" w:lineRule="auto"/>
        <w:jc w:val="both"/>
        <w:rPr>
          <w:rFonts w:ascii="Verdana" w:hAnsi="Verdana" w:cs="Times New Roman"/>
          <w:color w:val="000000"/>
        </w:rPr>
      </w:pPr>
      <w:hyperlink r:id="rId33" w:history="1">
        <w:r w:rsidR="00A853CC" w:rsidRPr="00DF6766">
          <w:rPr>
            <w:rFonts w:ascii="Verdana" w:hAnsi="Verdana" w:cs="Times New Roman"/>
            <w:i/>
            <w:iCs/>
            <w:color w:val="0000FF"/>
          </w:rPr>
          <w:t>Nosal I</w:t>
        </w:r>
      </w:hyperlink>
      <w:r w:rsidR="00A853CC" w:rsidRPr="00DF6766">
        <w:rPr>
          <w:rFonts w:ascii="Verdana" w:hAnsi="Verdana" w:cs="Times New Roman"/>
          <w:color w:val="000000"/>
        </w:rPr>
        <w:t xml:space="preserve"> is materially distinguishable. First, </w:t>
      </w:r>
      <w:hyperlink r:id="rId34" w:history="1">
        <w:r w:rsidR="00A853CC" w:rsidRPr="00DF6766">
          <w:rPr>
            <w:rFonts w:ascii="Verdana" w:hAnsi="Verdana" w:cs="Times New Roman"/>
            <w:i/>
            <w:iCs/>
            <w:color w:val="0000FF"/>
          </w:rPr>
          <w:t>Nosal I</w:t>
        </w:r>
      </w:hyperlink>
      <w:r w:rsidR="00A853CC" w:rsidRPr="00DF6766">
        <w:rPr>
          <w:rFonts w:ascii="Verdana" w:hAnsi="Verdana" w:cs="Times New Roman"/>
          <w:color w:val="000000"/>
        </w:rPr>
        <w:t xml:space="preserve"> involved employees of a company who arguably exceeded the limits of their authorization. </w:t>
      </w:r>
      <w:hyperlink r:id="rId35" w:anchor="co_pp_sp_506_856" w:history="1">
        <w:r w:rsidR="00A853CC" w:rsidRPr="00DF6766">
          <w:rPr>
            <w:rFonts w:ascii="Verdana" w:hAnsi="Verdana" w:cs="Times New Roman"/>
            <w:color w:val="0000FF"/>
          </w:rPr>
          <w:t>676 F.3d at 856.</w:t>
        </w:r>
      </w:hyperlink>
      <w:r w:rsidR="00A853CC" w:rsidRPr="00DF6766">
        <w:rPr>
          <w:rFonts w:ascii="Verdana" w:hAnsi="Verdana" w:cs="Times New Roman"/>
          <w:color w:val="000000"/>
        </w:rPr>
        <w:t xml:space="preserve"> Here, by contrast, Facebook explicitly revoked authorization for </w:t>
      </w:r>
      <w:r w:rsidR="00A853CC" w:rsidRPr="00DF6766">
        <w:rPr>
          <w:rFonts w:ascii="Verdana" w:hAnsi="Verdana" w:cs="Times New Roman"/>
          <w:i/>
          <w:iCs/>
          <w:color w:val="000000"/>
        </w:rPr>
        <w:t>any</w:t>
      </w:r>
      <w:r w:rsidR="00A853CC" w:rsidRPr="00DF6766">
        <w:rPr>
          <w:rFonts w:ascii="Verdana" w:hAnsi="Verdana" w:cs="Times New Roman"/>
          <w:color w:val="000000"/>
        </w:rPr>
        <w:t xml:space="preserve"> access, and this case does not present the </w:t>
      </w:r>
      <w:r w:rsidR="00A853CC" w:rsidRPr="00DF6766">
        <w:rPr>
          <w:rFonts w:ascii="Verdana" w:hAnsi="Verdana" w:cs="Times New Roman"/>
          <w:color w:val="000000"/>
        </w:rPr>
        <w:lastRenderedPageBreak/>
        <w:t xml:space="preserve">more nuanced question of exceeding authorization. </w:t>
      </w:r>
      <w:hyperlink r:id="rId36" w:history="1">
        <w:r w:rsidR="00A853CC" w:rsidRPr="00DF6766">
          <w:rPr>
            <w:rFonts w:ascii="Verdana" w:hAnsi="Verdana" w:cs="Times New Roman"/>
            <w:i/>
            <w:iCs/>
            <w:color w:val="0000FF"/>
          </w:rPr>
          <w:t>Nosal I</w:t>
        </w:r>
      </w:hyperlink>
      <w:r w:rsidR="00A853CC" w:rsidRPr="00DF6766">
        <w:rPr>
          <w:rFonts w:ascii="Verdana" w:hAnsi="Verdana" w:cs="Times New Roman"/>
          <w:color w:val="000000"/>
        </w:rPr>
        <w:t xml:space="preserve"> involved a defendant who “exceeded authorization,” while this case involves a defendant who accessed a computer “without authorization.” Second, although </w:t>
      </w:r>
      <w:hyperlink r:id="rId37" w:history="1">
        <w:r w:rsidR="00A853CC" w:rsidRPr="00DF6766">
          <w:rPr>
            <w:rFonts w:ascii="Verdana" w:hAnsi="Verdana" w:cs="Times New Roman"/>
            <w:i/>
            <w:iCs/>
            <w:color w:val="0000FF"/>
          </w:rPr>
          <w:t>Nosal I</w:t>
        </w:r>
      </w:hyperlink>
      <w:r w:rsidR="00A853CC" w:rsidRPr="00DF6766">
        <w:rPr>
          <w:rFonts w:ascii="Verdana" w:hAnsi="Verdana" w:cs="Times New Roman"/>
          <w:color w:val="000000"/>
        </w:rPr>
        <w:t xml:space="preserve"> makes clear that violation of the terms of use of a website cannot itself constitute access without authorization, this case does </w:t>
      </w:r>
      <w:r w:rsidR="00A853CC" w:rsidRPr="00DF6766">
        <w:rPr>
          <w:rFonts w:ascii="Verdana" w:hAnsi="Verdana" w:cs="Times New Roman"/>
          <w:i/>
          <w:iCs/>
          <w:color w:val="000000"/>
        </w:rPr>
        <w:t>not</w:t>
      </w:r>
      <w:r w:rsidR="00A853CC" w:rsidRPr="00DF6766">
        <w:rPr>
          <w:rFonts w:ascii="Verdana" w:hAnsi="Verdana" w:cs="Times New Roman"/>
          <w:color w:val="000000"/>
        </w:rPr>
        <w:t xml:space="preserve"> involve non-compliance with terms and conditions of service. Facebook and Power had no direct relationship, and it does not appear that Power was subject to any contractual terms that it could have breached. Finally, </w:t>
      </w:r>
      <w:hyperlink r:id="rId38" w:history="1">
        <w:r w:rsidR="00A853CC" w:rsidRPr="00DF6766">
          <w:rPr>
            <w:rFonts w:ascii="Verdana" w:hAnsi="Verdana" w:cs="Times New Roman"/>
            <w:i/>
            <w:iCs/>
            <w:color w:val="0000FF"/>
          </w:rPr>
          <w:t>Nosal I</w:t>
        </w:r>
      </w:hyperlink>
      <w:r w:rsidR="00A853CC" w:rsidRPr="00DF6766">
        <w:rPr>
          <w:rFonts w:ascii="Verdana" w:hAnsi="Verdana" w:cs="Times New Roman"/>
          <w:color w:val="000000"/>
        </w:rPr>
        <w:t xml:space="preserve"> was most concerned with transforming “otherwise innocuous behavior into federal crimes simply because a computer is involved.” </w:t>
      </w:r>
      <w:hyperlink r:id="rId39" w:anchor="co_pp_sp_506_860" w:history="1">
        <w:r w:rsidR="00A853CC" w:rsidRPr="00DF6766">
          <w:rPr>
            <w:rFonts w:ascii="Verdana" w:hAnsi="Verdana" w:cs="Times New Roman"/>
            <w:i/>
            <w:iCs/>
            <w:color w:val="0000FF"/>
          </w:rPr>
          <w:t>Id.</w:t>
        </w:r>
        <w:r w:rsidR="00A853CC" w:rsidRPr="00DF6766">
          <w:rPr>
            <w:rFonts w:ascii="Verdana" w:hAnsi="Verdana" w:cs="Times New Roman"/>
            <w:color w:val="0000FF"/>
          </w:rPr>
          <w:t xml:space="preserve"> at 860</w:t>
        </w:r>
      </w:hyperlink>
      <w:r w:rsidR="00A853CC" w:rsidRPr="00DF6766">
        <w:rPr>
          <w:rFonts w:ascii="Verdana" w:hAnsi="Verdana" w:cs="Times New Roman"/>
          <w:color w:val="000000"/>
        </w:rPr>
        <w:t xml:space="preserve">. It aimed to prevent criminal liability for computer users who might be unaware that they were committing a crime. But, in this case, Facebook clearly notified Power of the revocation of access, and Power intentionally refused to comply. </w:t>
      </w:r>
      <w:hyperlink r:id="rId40" w:history="1">
        <w:r w:rsidR="00A853CC" w:rsidRPr="00DF6766">
          <w:rPr>
            <w:rFonts w:ascii="Verdana" w:hAnsi="Verdana" w:cs="Times New Roman"/>
            <w:i/>
            <w:iCs/>
            <w:color w:val="0000FF"/>
          </w:rPr>
          <w:t>Nosal I</w:t>
        </w:r>
        <w:r w:rsidR="00A853CC" w:rsidRPr="00DF6766">
          <w:rPr>
            <w:rFonts w:ascii="Verdana" w:hAnsi="Verdana" w:cs="Times New Roman"/>
            <w:color w:val="0000FF"/>
          </w:rPr>
          <w:t>’s</w:t>
        </w:r>
      </w:hyperlink>
      <w:r w:rsidR="00A853CC" w:rsidRPr="00DF6766">
        <w:rPr>
          <w:rFonts w:ascii="Verdana" w:hAnsi="Verdana" w:cs="Times New Roman"/>
          <w:color w:val="000000"/>
        </w:rPr>
        <w:t xml:space="preserve"> concerns about overreaching or an absence of culpable intent simply do not apply here. This case is closer to </w:t>
      </w:r>
      <w:hyperlink r:id="rId41" w:history="1">
        <w:r w:rsidR="00A853CC" w:rsidRPr="00DF6766">
          <w:rPr>
            <w:rFonts w:ascii="Verdana" w:hAnsi="Verdana" w:cs="Times New Roman"/>
            <w:i/>
            <w:iCs/>
            <w:color w:val="0000FF"/>
          </w:rPr>
          <w:t>Nosal II</w:t>
        </w:r>
      </w:hyperlink>
      <w:r w:rsidR="00A853CC" w:rsidRPr="00DF6766">
        <w:rPr>
          <w:rFonts w:ascii="Verdana" w:hAnsi="Verdana" w:cs="Times New Roman"/>
          <w:color w:val="000000"/>
        </w:rPr>
        <w:t>, wherein liability attached after permission to access computers was expressly revoked, but then the defendant deliberately circumvented the rescission of authorization.</w:t>
      </w:r>
    </w:p>
    <w:p w14:paraId="1E64B0B4" w14:textId="77777777" w:rsidR="006202D1" w:rsidRPr="00DF6766" w:rsidRDefault="00A853CC" w:rsidP="00DF6766">
      <w:pPr>
        <w:widowControl w:val="0"/>
        <w:autoSpaceDE w:val="0"/>
        <w:autoSpaceDN w:val="0"/>
        <w:adjustRightInd w:val="0"/>
        <w:spacing w:after="0" w:line="240" w:lineRule="auto"/>
        <w:jc w:val="both"/>
        <w:rPr>
          <w:rFonts w:ascii="Verdana" w:hAnsi="Verdana" w:cs="Times New Roman"/>
          <w:color w:val="000000"/>
        </w:rPr>
      </w:pPr>
      <w:r w:rsidRPr="00DF6766">
        <w:rPr>
          <w:rFonts w:ascii="Verdana" w:hAnsi="Verdana" w:cs="Times New Roman"/>
          <w:color w:val="000000"/>
        </w:rPr>
        <w:t> </w:t>
      </w:r>
    </w:p>
    <w:p w14:paraId="17DB9DEB" w14:textId="77777777" w:rsidR="006202D1" w:rsidRPr="00DF6766" w:rsidRDefault="00A853CC" w:rsidP="00DF6766">
      <w:pPr>
        <w:widowControl w:val="0"/>
        <w:autoSpaceDE w:val="0"/>
        <w:autoSpaceDN w:val="0"/>
        <w:adjustRightInd w:val="0"/>
        <w:spacing w:after="0" w:line="240" w:lineRule="auto"/>
        <w:jc w:val="both"/>
        <w:rPr>
          <w:rFonts w:ascii="Verdana" w:hAnsi="Verdana" w:cs="Times New Roman"/>
          <w:color w:val="000000"/>
        </w:rPr>
      </w:pPr>
      <w:r w:rsidRPr="00DF6766">
        <w:rPr>
          <w:rFonts w:ascii="Verdana" w:hAnsi="Verdana" w:cs="Times New Roman"/>
          <w:color w:val="000000"/>
        </w:rPr>
        <w:t>Accordingly, we hold that, after receiving the cease and desist letter from Facebook, Power intentionally accessed Facebook’s computers knowing that it was not authorized to do so, making Power liable under the CFAA. We therefore affirm in part the holding of the district court with respect to the CFAA.</w:t>
      </w:r>
    </w:p>
    <w:p w14:paraId="5F460082" w14:textId="77777777" w:rsidR="005D0DCC" w:rsidRDefault="005D0DCC" w:rsidP="00DF6766">
      <w:pPr>
        <w:widowControl w:val="0"/>
        <w:autoSpaceDE w:val="0"/>
        <w:autoSpaceDN w:val="0"/>
        <w:adjustRightInd w:val="0"/>
        <w:spacing w:after="0" w:line="240" w:lineRule="auto"/>
        <w:jc w:val="both"/>
        <w:rPr>
          <w:rFonts w:ascii="Verdana" w:hAnsi="Verdana" w:cs="Times New Roman"/>
          <w:color w:val="000000"/>
        </w:rPr>
      </w:pPr>
    </w:p>
    <w:p w14:paraId="1B8E67A6" w14:textId="77777777" w:rsidR="005D0DCC" w:rsidRDefault="005D0DCC" w:rsidP="00DF6766">
      <w:pPr>
        <w:widowControl w:val="0"/>
        <w:autoSpaceDE w:val="0"/>
        <w:autoSpaceDN w:val="0"/>
        <w:adjustRightInd w:val="0"/>
        <w:spacing w:after="0" w:line="240" w:lineRule="auto"/>
        <w:jc w:val="both"/>
        <w:rPr>
          <w:rFonts w:ascii="Verdana" w:hAnsi="Verdana" w:cs="Times New Roman"/>
          <w:color w:val="000000"/>
        </w:rPr>
      </w:pPr>
      <w:r>
        <w:rPr>
          <w:rFonts w:ascii="Verdana" w:hAnsi="Verdana" w:cs="Times New Roman"/>
          <w:color w:val="000000"/>
        </w:rPr>
        <w:t>***</w:t>
      </w:r>
    </w:p>
    <w:p w14:paraId="412B1EC6" w14:textId="77777777" w:rsidR="006202D1" w:rsidRPr="00DF6766" w:rsidRDefault="00A853CC" w:rsidP="00DF6766">
      <w:pPr>
        <w:widowControl w:val="0"/>
        <w:autoSpaceDE w:val="0"/>
        <w:autoSpaceDN w:val="0"/>
        <w:adjustRightInd w:val="0"/>
        <w:spacing w:after="0" w:line="240" w:lineRule="auto"/>
        <w:jc w:val="both"/>
        <w:rPr>
          <w:rFonts w:ascii="Verdana" w:hAnsi="Verdana" w:cs="Times New Roman"/>
          <w:color w:val="000000"/>
        </w:rPr>
      </w:pPr>
      <w:r w:rsidRPr="00DF6766">
        <w:rPr>
          <w:rFonts w:ascii="Verdana" w:hAnsi="Verdana" w:cs="Times New Roman"/>
          <w:color w:val="000000"/>
        </w:rPr>
        <w:t> </w:t>
      </w:r>
    </w:p>
    <w:p w14:paraId="2E48791B" w14:textId="77777777" w:rsidR="006202D1" w:rsidRPr="00DF6766" w:rsidRDefault="00A853CC" w:rsidP="00DF6766">
      <w:pPr>
        <w:widowControl w:val="0"/>
        <w:autoSpaceDE w:val="0"/>
        <w:autoSpaceDN w:val="0"/>
        <w:adjustRightInd w:val="0"/>
        <w:spacing w:after="0" w:line="240" w:lineRule="auto"/>
        <w:jc w:val="both"/>
        <w:rPr>
          <w:rFonts w:ascii="Verdana" w:hAnsi="Verdana" w:cs="Times New Roman"/>
          <w:color w:val="000000"/>
        </w:rPr>
      </w:pPr>
      <w:bookmarkStart w:id="18" w:name="co_anchor_Ifef6e8a3752211e698dc8b09b4f04"/>
      <w:bookmarkEnd w:id="18"/>
      <w:r w:rsidRPr="00DF6766">
        <w:rPr>
          <w:rFonts w:ascii="Verdana" w:hAnsi="Verdana" w:cs="Times New Roman"/>
          <w:b/>
          <w:bCs/>
          <w:color w:val="000000"/>
        </w:rPr>
        <w:t>REVERSED</w:t>
      </w:r>
      <w:r w:rsidRPr="00DF6766">
        <w:rPr>
          <w:rFonts w:ascii="Verdana" w:hAnsi="Verdana" w:cs="Times New Roman"/>
          <w:color w:val="000000"/>
        </w:rPr>
        <w:t xml:space="preserve"> in part, </w:t>
      </w:r>
      <w:r w:rsidRPr="00DF6766">
        <w:rPr>
          <w:rFonts w:ascii="Verdana" w:hAnsi="Verdana" w:cs="Times New Roman"/>
          <w:b/>
          <w:bCs/>
          <w:color w:val="000000"/>
        </w:rPr>
        <w:t>VACATED</w:t>
      </w:r>
      <w:r w:rsidRPr="00DF6766">
        <w:rPr>
          <w:rFonts w:ascii="Verdana" w:hAnsi="Verdana" w:cs="Times New Roman"/>
          <w:color w:val="000000"/>
        </w:rPr>
        <w:t xml:space="preserve"> in part, </w:t>
      </w:r>
      <w:r w:rsidRPr="00DF6766">
        <w:rPr>
          <w:rFonts w:ascii="Verdana" w:hAnsi="Verdana" w:cs="Times New Roman"/>
          <w:b/>
          <w:bCs/>
          <w:color w:val="000000"/>
        </w:rPr>
        <w:t>AFFIRMED</w:t>
      </w:r>
      <w:r w:rsidRPr="00DF6766">
        <w:rPr>
          <w:rFonts w:ascii="Verdana" w:hAnsi="Verdana" w:cs="Times New Roman"/>
          <w:color w:val="000000"/>
        </w:rPr>
        <w:t xml:space="preserve"> in part, and </w:t>
      </w:r>
      <w:r w:rsidRPr="00DF6766">
        <w:rPr>
          <w:rFonts w:ascii="Verdana" w:hAnsi="Verdana" w:cs="Times New Roman"/>
          <w:b/>
          <w:bCs/>
          <w:color w:val="000000"/>
        </w:rPr>
        <w:t>REMANDED</w:t>
      </w:r>
      <w:r w:rsidRPr="00DF6766">
        <w:rPr>
          <w:rFonts w:ascii="Verdana" w:hAnsi="Verdana" w:cs="Times New Roman"/>
          <w:color w:val="000000"/>
        </w:rPr>
        <w:t>. The parties shall bear their own costs on appeal.</w:t>
      </w:r>
    </w:p>
    <w:p w14:paraId="2D5ADF38" w14:textId="77777777" w:rsidR="006202D1" w:rsidRPr="00DF6766" w:rsidRDefault="00A853CC" w:rsidP="00DF6766">
      <w:pPr>
        <w:widowControl w:val="0"/>
        <w:autoSpaceDE w:val="0"/>
        <w:autoSpaceDN w:val="0"/>
        <w:adjustRightInd w:val="0"/>
        <w:spacing w:after="0" w:line="240" w:lineRule="auto"/>
        <w:jc w:val="both"/>
        <w:rPr>
          <w:rFonts w:ascii="Verdana" w:hAnsi="Verdana" w:cs="Times New Roman"/>
          <w:color w:val="000000"/>
        </w:rPr>
      </w:pPr>
      <w:r w:rsidRPr="00DF6766">
        <w:rPr>
          <w:rFonts w:ascii="Verdana" w:hAnsi="Verdana" w:cs="Times New Roman"/>
          <w:color w:val="000000"/>
        </w:rPr>
        <w:t> </w:t>
      </w:r>
    </w:p>
    <w:sectPr w:rsidR="006202D1" w:rsidRPr="00DF6766">
      <w:headerReference w:type="default" r:id="rId42"/>
      <w:type w:val="continuous"/>
      <w:pgSz w:w="12240" w:h="15840"/>
      <w:pgMar w:top="180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C12B4" w14:textId="77777777" w:rsidR="00CF0C3E" w:rsidRDefault="00CF0C3E">
      <w:pPr>
        <w:spacing w:after="0" w:line="240" w:lineRule="auto"/>
      </w:pPr>
      <w:r>
        <w:separator/>
      </w:r>
    </w:p>
  </w:endnote>
  <w:endnote w:type="continuationSeparator" w:id="0">
    <w:p w14:paraId="06C434F4" w14:textId="77777777" w:rsidR="00CF0C3E" w:rsidRDefault="00CF0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6638A" w14:textId="77777777" w:rsidR="00CF0C3E" w:rsidRDefault="00CF0C3E">
      <w:pPr>
        <w:spacing w:after="0" w:line="240" w:lineRule="auto"/>
      </w:pPr>
      <w:r>
        <w:separator/>
      </w:r>
    </w:p>
  </w:footnote>
  <w:footnote w:type="continuationSeparator" w:id="0">
    <w:p w14:paraId="293E2FA2" w14:textId="77777777" w:rsidR="00CF0C3E" w:rsidRDefault="00CF0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7DEE9" w14:textId="77777777" w:rsidR="006202D1" w:rsidRDefault="006202D1">
    <w:pPr>
      <w:widowControl w:val="0"/>
      <w:autoSpaceDE w:val="0"/>
      <w:autoSpaceDN w:val="0"/>
      <w:adjustRightInd w:val="0"/>
      <w:spacing w:after="0" w:line="240" w:lineRule="auto"/>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1CD"/>
    <w:rsid w:val="000D00B4"/>
    <w:rsid w:val="000D3D3F"/>
    <w:rsid w:val="0025741F"/>
    <w:rsid w:val="00266335"/>
    <w:rsid w:val="00303201"/>
    <w:rsid w:val="005569AA"/>
    <w:rsid w:val="005D0DCC"/>
    <w:rsid w:val="006202D1"/>
    <w:rsid w:val="007114B2"/>
    <w:rsid w:val="00720B02"/>
    <w:rsid w:val="00756F78"/>
    <w:rsid w:val="00803BC4"/>
    <w:rsid w:val="009F7B1E"/>
    <w:rsid w:val="00A853CC"/>
    <w:rsid w:val="00C844F0"/>
    <w:rsid w:val="00CF0C3E"/>
    <w:rsid w:val="00DF6766"/>
    <w:rsid w:val="00ED20B1"/>
    <w:rsid w:val="00FC4E96"/>
    <w:rsid w:val="00FD6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22A7E9"/>
  <w14:defaultImageDpi w14:val="0"/>
  <w15:docId w15:val="{C3689BFE-2CBB-4025-9164-56CD58E8D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6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766"/>
    <w:rPr>
      <w:rFonts w:ascii="Tahoma" w:hAnsi="Tahoma" w:cs="Tahoma"/>
      <w:sz w:val="16"/>
      <w:szCs w:val="16"/>
    </w:rPr>
  </w:style>
  <w:style w:type="paragraph" w:styleId="Header">
    <w:name w:val="header"/>
    <w:basedOn w:val="Normal"/>
    <w:link w:val="HeaderChar"/>
    <w:uiPriority w:val="99"/>
    <w:unhideWhenUsed/>
    <w:rsid w:val="00DF67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766"/>
  </w:style>
  <w:style w:type="paragraph" w:styleId="Footer">
    <w:name w:val="footer"/>
    <w:basedOn w:val="Normal"/>
    <w:link w:val="FooterChar"/>
    <w:uiPriority w:val="99"/>
    <w:unhideWhenUsed/>
    <w:rsid w:val="00DF67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estlaw.com/Link/Document/FullText?findType=L&amp;pubNum=1000546&amp;cite=18USCAS1030&amp;originatingDoc=I543081e048e311e6a6699ce8baa114cf&amp;refType=SP&amp;originationContext=document&amp;vr=3.0&amp;rs=cblt1.0&amp;transitionType=DocumentItem&amp;contextData=(sc.Search)" TargetMode="External"/><Relationship Id="rId18" Type="http://schemas.openxmlformats.org/officeDocument/2006/relationships/hyperlink" Target="http://www.westlaw.com/Link/Document/FullText?findType=Y&amp;serNum=2039315922&amp;originatingDoc=I543081e048e311e6a6699ce8baa114cf&amp;refType=RP&amp;originationContext=document&amp;vr=3.0&amp;rs=cblt1.0&amp;transitionType=DocumentItem&amp;contextData=(sc.Search)" TargetMode="External"/><Relationship Id="rId26" Type="http://schemas.openxmlformats.org/officeDocument/2006/relationships/hyperlink" Target="http://www.westlaw.com/Link/Document/FullText?findType=Y&amp;serNum=2027470557&amp;pubNum=0000506&amp;originatingDoc=I543081e048e311e6a6699ce8baa114cf&amp;refType=RP&amp;originationContext=document&amp;vr=3.0&amp;rs=cblt1.0&amp;transitionType=DocumentItem&amp;contextData=(sc.Search)" TargetMode="External"/><Relationship Id="rId39" Type="http://schemas.openxmlformats.org/officeDocument/2006/relationships/hyperlink" Target="http://www.westlaw.com/Link/Document/FullText?findType=Y&amp;serNum=2027470557&amp;pubNum=0000506&amp;originatingDoc=I543081e048e311e6a6699ce8baa114cf&amp;refType=RP&amp;fi=co_pp_sp_506_860&amp;originationContext=document&amp;vr=3.0&amp;rs=cblt1.0&amp;transitionType=DocumentItem&amp;contextData=(sc.Search)" TargetMode="External"/><Relationship Id="rId21" Type="http://schemas.openxmlformats.org/officeDocument/2006/relationships/hyperlink" Target="http://www.westlaw.com/Link/Document/FullText?findType=Y&amp;serNum=2039315922&amp;originatingDoc=I543081e048e311e6a6699ce8baa114cf&amp;refType=RP&amp;originationContext=document&amp;vr=3.0&amp;rs=cblt1.0&amp;transitionType=DocumentItem&amp;contextData=(sc.Search)" TargetMode="External"/><Relationship Id="rId34" Type="http://schemas.openxmlformats.org/officeDocument/2006/relationships/hyperlink" Target="http://www.westlaw.com/Link/Document/FullText?findType=Y&amp;serNum=2027470557&amp;pubNum=0000506&amp;originatingDoc=I543081e048e311e6a6699ce8baa114cf&amp;refType=RP&amp;originationContext=document&amp;vr=3.0&amp;rs=cblt1.0&amp;transitionType=DocumentItem&amp;contextData=(sc.Search)" TargetMode="External"/><Relationship Id="rId42" Type="http://schemas.openxmlformats.org/officeDocument/2006/relationships/header" Target="header1.xml"/><Relationship Id="rId7" Type="http://schemas.openxmlformats.org/officeDocument/2006/relationships/hyperlink" Target="http://www.westlaw.com/Link/Document/FullText?findType=L&amp;pubNum=1000217&amp;cite=CAPES502&amp;originatingDoc=I543081e048e311e6a6699ce8baa114cf&amp;refType=LQ&amp;originationContext=document&amp;vr=3.0&amp;rs=cblt1.0&amp;transitionType=DocumentItem&amp;contextData=(sc.Search)" TargetMode="External"/><Relationship Id="rId2" Type="http://schemas.openxmlformats.org/officeDocument/2006/relationships/settings" Target="settings.xml"/><Relationship Id="rId16" Type="http://schemas.openxmlformats.org/officeDocument/2006/relationships/hyperlink" Target="http://www.westlaw.com/Link/Document/FullText?findType=Y&amp;serNum=2039315922&amp;originatingDoc=I543081e048e311e6a6699ce8baa114cf&amp;refType=RP&amp;originationContext=document&amp;vr=3.0&amp;rs=cblt1.0&amp;transitionType=DocumentItem&amp;contextData=(sc.Search)" TargetMode="External"/><Relationship Id="rId20" Type="http://schemas.openxmlformats.org/officeDocument/2006/relationships/hyperlink" Target="http://www.westlaw.com/Link/Document/FullText?findType=Y&amp;serNum=2039315922&amp;originatingDoc=I543081e048e311e6a6699ce8baa114cf&amp;refType=RP&amp;originationContext=document&amp;vr=3.0&amp;rs=cblt1.0&amp;transitionType=DocumentItem&amp;contextData=(sc.Search)" TargetMode="External"/><Relationship Id="rId29" Type="http://schemas.openxmlformats.org/officeDocument/2006/relationships/hyperlink" Target="http://www.westlaw.com/Link/Document/FullText?findType=Y&amp;serNum=2027470557&amp;pubNum=0000506&amp;originatingDoc=I543081e048e311e6a6699ce8baa114cf&amp;refType=RP&amp;fi=co_pp_sp_506_856&amp;originationContext=document&amp;vr=3.0&amp;rs=cblt1.0&amp;transitionType=DocumentItem&amp;contextData=(sc.Search)" TargetMode="External"/><Relationship Id="rId41" Type="http://schemas.openxmlformats.org/officeDocument/2006/relationships/hyperlink" Target="http://www.westlaw.com/Link/Document/FullText?findType=Y&amp;serNum=2027470557&amp;pubNum=0000506&amp;originatingDoc=I543081e048e311e6a6699ce8baa114cf&amp;refType=RP&amp;originationContext=document&amp;vr=3.0&amp;rs=cblt1.0&amp;transitionType=DocumentItem&amp;contextData=(sc.Search)" TargetMode="External"/><Relationship Id="rId1" Type="http://schemas.openxmlformats.org/officeDocument/2006/relationships/styles" Target="styles.xml"/><Relationship Id="rId6" Type="http://schemas.openxmlformats.org/officeDocument/2006/relationships/hyperlink" Target="http://www.westlaw.com/Link/Document/FullText?findType=L&amp;pubNum=1000217&amp;cite=CAPES502&amp;originatingDoc=I543081e048e311e6a6699ce8baa114cf&amp;refType=LQ&amp;originationContext=document&amp;vr=3.0&amp;rs=cblt1.0&amp;transitionType=DocumentItem&amp;contextData=(sc.Search)" TargetMode="External"/><Relationship Id="rId11" Type="http://schemas.openxmlformats.org/officeDocument/2006/relationships/hyperlink" Target="http://www.westlaw.com/Link/Document/FullText?findType=Y&amp;serNum=2038150527&amp;pubNum=0000708&amp;originatingDoc=I543081e048e311e6a6699ce8baa114cf&amp;refType=RP&amp;fi=co_pp_sp_708_713&amp;originationContext=document&amp;vr=3.0&amp;rs=cblt1.0&amp;transitionType=DocumentItem&amp;contextData=(sc.Search)" TargetMode="External"/><Relationship Id="rId24" Type="http://schemas.openxmlformats.org/officeDocument/2006/relationships/hyperlink" Target="http://www.westlaw.com/Link/Document/FullText?findType=Y&amp;serNum=2019808398&amp;pubNum=0000506&amp;originatingDoc=I543081e048e311e6a6699ce8baa114cf&amp;refType=RP&amp;originationContext=document&amp;vr=3.0&amp;rs=cblt1.0&amp;transitionType=DocumentItem&amp;contextData=(sc.Search)" TargetMode="External"/><Relationship Id="rId32" Type="http://schemas.openxmlformats.org/officeDocument/2006/relationships/hyperlink" Target="http://www.westlaw.com/Link/Document/FullText?findType=Y&amp;serNum=2027470557&amp;pubNum=0000506&amp;originatingDoc=I543081e048e311e6a6699ce8baa114cf&amp;refType=RP&amp;fi=co_pp_sp_506_863&amp;originationContext=document&amp;vr=3.0&amp;rs=cblt1.0&amp;transitionType=DocumentItem&amp;contextData=(sc.Search)" TargetMode="External"/><Relationship Id="rId37" Type="http://schemas.openxmlformats.org/officeDocument/2006/relationships/hyperlink" Target="http://www.westlaw.com/Link/Document/FullText?findType=Y&amp;serNum=2027470557&amp;pubNum=0000506&amp;originatingDoc=I543081e048e311e6a6699ce8baa114cf&amp;refType=RP&amp;originationContext=document&amp;vr=3.0&amp;rs=cblt1.0&amp;transitionType=DocumentItem&amp;contextData=(sc.Search)" TargetMode="External"/><Relationship Id="rId40" Type="http://schemas.openxmlformats.org/officeDocument/2006/relationships/hyperlink" Target="http://www.westlaw.com/Link/Document/FullText?findType=Y&amp;serNum=2027470557&amp;pubNum=0000506&amp;originatingDoc=I543081e048e311e6a6699ce8baa114cf&amp;refType=RP&amp;originationContext=document&amp;vr=3.0&amp;rs=cblt1.0&amp;transitionType=DocumentItem&amp;contextData=(sc.Search)" TargetMode="External"/><Relationship Id="rId5" Type="http://schemas.openxmlformats.org/officeDocument/2006/relationships/endnotes" Target="endnotes.xml"/><Relationship Id="rId15" Type="http://schemas.openxmlformats.org/officeDocument/2006/relationships/hyperlink" Target="http://www.westlaw.com/Link/Document/FullText?findType=Y&amp;serNum=2039315922&amp;pubNum=0000999&amp;originatingDoc=I543081e048e311e6a6699ce8baa114cf&amp;refType=RP&amp;originationContext=document&amp;vr=3.0&amp;rs=cblt1.0&amp;transitionType=DocumentItem&amp;contextData=(sc.Search)" TargetMode="External"/><Relationship Id="rId23" Type="http://schemas.openxmlformats.org/officeDocument/2006/relationships/hyperlink" Target="http://www.westlaw.com/Link/Document/FullText?findType=Y&amp;serNum=2019808398&amp;pubNum=0000506&amp;originatingDoc=I543081e048e311e6a6699ce8baa114cf&amp;refType=RP&amp;fi=co_pp_sp_506_1135&amp;originationContext=document&amp;vr=3.0&amp;rs=cblt1.0&amp;transitionType=DocumentItem&amp;contextData=(sc.Search)" TargetMode="External"/><Relationship Id="rId28" Type="http://schemas.openxmlformats.org/officeDocument/2006/relationships/hyperlink" Target="http://www.westlaw.com/Link/Document/FullText?findType=Y&amp;serNum=2039315922&amp;originatingDoc=I543081e048e311e6a6699ce8baa114cf&amp;refType=RP&amp;originationContext=document&amp;vr=3.0&amp;rs=cblt1.0&amp;transitionType=DocumentItem&amp;contextData=(sc.Search)" TargetMode="External"/><Relationship Id="rId36" Type="http://schemas.openxmlformats.org/officeDocument/2006/relationships/hyperlink" Target="http://www.westlaw.com/Link/Document/FullText?findType=Y&amp;serNum=2027470557&amp;pubNum=0000506&amp;originatingDoc=I543081e048e311e6a6699ce8baa114cf&amp;refType=RP&amp;originationContext=document&amp;vr=3.0&amp;rs=cblt1.0&amp;transitionType=DocumentItem&amp;contextData=(sc.Search)" TargetMode="External"/><Relationship Id="rId10" Type="http://schemas.openxmlformats.org/officeDocument/2006/relationships/hyperlink" Target="http://www.westlaw.com/Link/Document/FullText?findType=L&amp;pubNum=1000546&amp;cite=18USCAS1030&amp;originatingDoc=I543081e048e311e6a6699ce8baa114cf&amp;refType=SP&amp;originationContext=document&amp;vr=3.0&amp;rs=cblt1.0&amp;transitionType=DocumentItem&amp;contextData=(sc.Search)" TargetMode="External"/><Relationship Id="rId19" Type="http://schemas.openxmlformats.org/officeDocument/2006/relationships/hyperlink" Target="http://www.westlaw.com/Link/Document/FullText?findType=Y&amp;serNum=2039315922&amp;originatingDoc=I543081e048e311e6a6699ce8baa114cf&amp;refType=RP&amp;originationContext=document&amp;vr=3.0&amp;rs=cblt1.0&amp;transitionType=DocumentItem&amp;contextData=(sc.Search)" TargetMode="External"/><Relationship Id="rId31" Type="http://schemas.openxmlformats.org/officeDocument/2006/relationships/hyperlink" Target="http://www.westlaw.com/Link/Document/FullText?findType=Y&amp;serNum=2027470557&amp;pubNum=0000506&amp;originatingDoc=I543081e048e311e6a6699ce8baa114cf&amp;refType=RP&amp;fi=co_pp_sp_506_862&amp;originationContext=document&amp;vr=3.0&amp;rs=cblt1.0&amp;transitionType=DocumentItem&amp;contextData=(sc.Search)"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westlaw.com/Link/Document/FullText?findType=L&amp;pubNum=1000600&amp;cite=USFRCPR30&amp;originatingDoc=I543081e048e311e6a6699ce8baa114cf&amp;refType=LQ&amp;originationContext=document&amp;vr=3.0&amp;rs=cblt1.0&amp;transitionType=DocumentItem&amp;contextData=(sc.Search)" TargetMode="External"/><Relationship Id="rId14" Type="http://schemas.openxmlformats.org/officeDocument/2006/relationships/hyperlink" Target="http://www.westlaw.com/Link/Document/FullText?findType=L&amp;pubNum=1000546&amp;cite=18USCAS1030&amp;originatingDoc=I543081e048e311e6a6699ce8baa114cf&amp;refType=SP&amp;originationContext=document&amp;vr=3.0&amp;rs=cblt1.0&amp;transitionType=DocumentItem&amp;contextData=(sc.Search)" TargetMode="External"/><Relationship Id="rId22" Type="http://schemas.openxmlformats.org/officeDocument/2006/relationships/hyperlink" Target="http://www.westlaw.com/Link/Document/FullText?findType=Y&amp;serNum=2019808398&amp;pubNum=0000506&amp;originatingDoc=I543081e048e311e6a6699ce8baa114cf&amp;refType=RP&amp;originationContext=document&amp;vr=3.0&amp;rs=cblt1.0&amp;transitionType=DocumentItem&amp;contextData=(sc.Search)" TargetMode="External"/><Relationship Id="rId27" Type="http://schemas.openxmlformats.org/officeDocument/2006/relationships/hyperlink" Target="http://www.westlaw.com/Link/Document/FullText?findType=Y&amp;serNum=2027470557&amp;pubNum=0000506&amp;originatingDoc=I543081e048e311e6a6699ce8baa114cf&amp;refType=RP&amp;originationContext=document&amp;vr=3.0&amp;rs=cblt1.0&amp;transitionType=DocumentItem&amp;contextData=(sc.Search)" TargetMode="External"/><Relationship Id="rId30" Type="http://schemas.openxmlformats.org/officeDocument/2006/relationships/hyperlink" Target="http://www.westlaw.com/Link/Document/FullText?findType=Y&amp;serNum=2027470557&amp;pubNum=0000506&amp;originatingDoc=I543081e048e311e6a6699ce8baa114cf&amp;refType=RP&amp;fi=co_pp_sp_506_863&amp;originationContext=document&amp;vr=3.0&amp;rs=cblt1.0&amp;transitionType=DocumentItem&amp;contextData=(sc.Search)" TargetMode="External"/><Relationship Id="rId35" Type="http://schemas.openxmlformats.org/officeDocument/2006/relationships/hyperlink" Target="http://www.westlaw.com/Link/Document/FullText?findType=Y&amp;serNum=2027470557&amp;pubNum=0000506&amp;originatingDoc=I543081e048e311e6a6699ce8baa114cf&amp;refType=RP&amp;fi=co_pp_sp_506_856&amp;originationContext=document&amp;vr=3.0&amp;rs=cblt1.0&amp;transitionType=DocumentItem&amp;contextData=(sc.Search)" TargetMode="External"/><Relationship Id="rId43" Type="http://schemas.openxmlformats.org/officeDocument/2006/relationships/fontTable" Target="fontTable.xml"/><Relationship Id="rId8" Type="http://schemas.openxmlformats.org/officeDocument/2006/relationships/hyperlink" Target="http://www.westlaw.com/Link/Document/FullText?findType=L&amp;pubNum=1000217&amp;cite=CAPES502&amp;originatingDoc=I543081e048e311e6a6699ce8baa114cf&amp;refType=LQ&amp;originationContext=document&amp;vr=3.0&amp;rs=cblt1.0&amp;transitionType=DocumentItem&amp;contextData=(sc.Search)" TargetMode="External"/><Relationship Id="rId3" Type="http://schemas.openxmlformats.org/officeDocument/2006/relationships/webSettings" Target="webSettings.xml"/><Relationship Id="rId12" Type="http://schemas.openxmlformats.org/officeDocument/2006/relationships/hyperlink" Target="http://www.westlaw.com/Link/Document/FullText?findType=L&amp;pubNum=1000546&amp;cite=18USCAS1030&amp;originatingDoc=I543081e048e311e6a6699ce8baa114cf&amp;refType=SP&amp;originationContext=document&amp;vr=3.0&amp;rs=cblt1.0&amp;transitionType=DocumentItem&amp;contextData=(sc.Search)" TargetMode="External"/><Relationship Id="rId17" Type="http://schemas.openxmlformats.org/officeDocument/2006/relationships/hyperlink" Target="http://www.westlaw.com/Link/Document/FullText?findType=Y&amp;serNum=2039315922&amp;originatingDoc=I543081e048e311e6a6699ce8baa114cf&amp;refType=RP&amp;originationContext=document&amp;vr=3.0&amp;rs=cblt1.0&amp;transitionType=DocumentItem&amp;contextData=(sc.Search)" TargetMode="External"/><Relationship Id="rId25" Type="http://schemas.openxmlformats.org/officeDocument/2006/relationships/hyperlink" Target="http://www.westlaw.com/Link/Document/FullText?findType=Y&amp;serNum=2019808398&amp;pubNum=0000506&amp;originatingDoc=I543081e048e311e6a6699ce8baa114cf&amp;refType=RP&amp;fi=co_pp_sp_506_1136&amp;originationContext=document&amp;vr=3.0&amp;rs=cblt1.0&amp;transitionType=DocumentItem&amp;contextData=(sc.Search)" TargetMode="External"/><Relationship Id="rId33" Type="http://schemas.openxmlformats.org/officeDocument/2006/relationships/hyperlink" Target="http://www.westlaw.com/Link/Document/FullText?findType=Y&amp;serNum=2027470557&amp;pubNum=0000506&amp;originatingDoc=I543081e048e311e6a6699ce8baa114cf&amp;refType=RP&amp;originationContext=document&amp;vr=3.0&amp;rs=cblt1.0&amp;transitionType=DocumentItem&amp;contextData=(sc.Search)" TargetMode="External"/><Relationship Id="rId38" Type="http://schemas.openxmlformats.org/officeDocument/2006/relationships/hyperlink" Target="http://www.westlaw.com/Link/Document/FullText?findType=Y&amp;serNum=2027470557&amp;pubNum=0000506&amp;originatingDoc=I543081e048e311e6a6699ce8baa114cf&amp;refType=RP&amp;originationContext=document&amp;vr=3.0&amp;rs=cblt1.0&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4318</Words>
  <Characters>24616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Richard Warner</cp:lastModifiedBy>
  <cp:revision>2</cp:revision>
  <dcterms:created xsi:type="dcterms:W3CDTF">2024-02-06T14:42:00Z</dcterms:created>
  <dcterms:modified xsi:type="dcterms:W3CDTF">2024-02-06T14:42:00Z</dcterms:modified>
</cp:coreProperties>
</file>